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32" w:rsidRPr="008F779A" w:rsidRDefault="00C65403" w:rsidP="00C65403">
      <w:pPr>
        <w:spacing w:before="0" w:line="240" w:lineRule="exact"/>
        <w:ind w:firstLine="0"/>
        <w:outlineLvl w:val="0"/>
        <w:rPr>
          <w:sz w:val="20"/>
          <w:szCs w:val="20"/>
          <w:lang w:val="sr-Cyrl-CS"/>
        </w:rPr>
      </w:pPr>
      <w:r>
        <w:rPr>
          <w:sz w:val="20"/>
          <w:szCs w:val="20"/>
          <w:lang w:val="sr-Cyrl-CS"/>
        </w:rPr>
        <w:t xml:space="preserve">      </w:t>
      </w:r>
      <w:r w:rsidRPr="00C65403">
        <w:rPr>
          <w:b/>
          <w:lang w:val="sr-Cyrl-CS"/>
        </w:rPr>
        <w:t>ТАЧКА 3.</w:t>
      </w:r>
      <w:r w:rsidR="00EF0726">
        <w:rPr>
          <w:b/>
          <w:lang w:val="sr-Cyrl-CS"/>
        </w:rPr>
        <w:t xml:space="preserve">                                            </w:t>
      </w:r>
      <w:r w:rsidR="00253B32" w:rsidRPr="008F779A">
        <w:rPr>
          <w:sz w:val="20"/>
          <w:szCs w:val="20"/>
          <w:lang w:val="sr-Cyrl-CS"/>
        </w:rPr>
        <w:t>И З В Е Ш Т А Ј</w:t>
      </w:r>
    </w:p>
    <w:p w:rsidR="00253B32" w:rsidRPr="008F779A" w:rsidRDefault="00253B32" w:rsidP="00253B32">
      <w:pPr>
        <w:spacing w:before="0" w:line="240" w:lineRule="exact"/>
        <w:ind w:firstLine="0"/>
        <w:jc w:val="center"/>
        <w:outlineLvl w:val="0"/>
        <w:rPr>
          <w:sz w:val="20"/>
          <w:szCs w:val="20"/>
          <w:lang w:val="sr-Cyrl-CS"/>
        </w:rPr>
      </w:pPr>
      <w:r w:rsidRPr="008F779A">
        <w:rPr>
          <w:sz w:val="20"/>
          <w:szCs w:val="20"/>
          <w:lang w:val="sr-Cyrl-CS"/>
        </w:rPr>
        <w:t xml:space="preserve"> О ФИНАНСИЈСКОМ ПОСЛОВАЊУ</w:t>
      </w:r>
    </w:p>
    <w:p w:rsidR="00253B32" w:rsidRPr="008F779A" w:rsidRDefault="00253B32" w:rsidP="00253B32">
      <w:pPr>
        <w:spacing w:before="0" w:line="240" w:lineRule="exact"/>
        <w:ind w:firstLine="0"/>
        <w:jc w:val="center"/>
        <w:outlineLvl w:val="0"/>
        <w:rPr>
          <w:sz w:val="20"/>
          <w:szCs w:val="20"/>
          <w:lang w:val="sr-Cyrl-CS"/>
        </w:rPr>
      </w:pPr>
      <w:r w:rsidRPr="008F779A">
        <w:rPr>
          <w:sz w:val="20"/>
          <w:szCs w:val="20"/>
          <w:lang w:val="sr-Cyrl-CS"/>
        </w:rPr>
        <w:t xml:space="preserve"> КОМОРЕ ЗДРАВСТВЕНИХ УСТАНОВА СРБИЈЕ ЗА 201</w:t>
      </w:r>
      <w:r>
        <w:rPr>
          <w:sz w:val="20"/>
          <w:szCs w:val="20"/>
        </w:rPr>
        <w:t>4</w:t>
      </w:r>
      <w:r w:rsidRPr="008F779A">
        <w:rPr>
          <w:sz w:val="20"/>
          <w:szCs w:val="20"/>
          <w:lang w:val="sr-Cyrl-CS"/>
        </w:rPr>
        <w:t>. ГОДИНУ</w:t>
      </w:r>
    </w:p>
    <w:p w:rsidR="00253B32" w:rsidRPr="006064AE" w:rsidRDefault="00253B32" w:rsidP="00253B32">
      <w:pPr>
        <w:spacing w:before="0" w:line="240" w:lineRule="exact"/>
        <w:ind w:firstLine="0"/>
        <w:jc w:val="center"/>
        <w:rPr>
          <w:b/>
          <w:lang w:val="sr-Cyrl-CS"/>
        </w:rPr>
      </w:pPr>
    </w:p>
    <w:p w:rsidR="00253B32" w:rsidRPr="006064AE" w:rsidRDefault="00253B32" w:rsidP="00253B32">
      <w:pPr>
        <w:spacing w:before="0" w:line="240" w:lineRule="exact"/>
        <w:rPr>
          <w:lang w:val="sr-Cyrl-CS"/>
        </w:rPr>
      </w:pPr>
      <w:r w:rsidRPr="006064AE">
        <w:rPr>
          <w:lang w:val="sr-Cyrl-CS"/>
        </w:rPr>
        <w:t>У извештајном периоду, Комора здравствених установа Србије</w:t>
      </w:r>
      <w:r w:rsidRPr="006064AE">
        <w:rPr>
          <w:lang w:val="sr-Latn-CS"/>
        </w:rPr>
        <w:t xml:space="preserve"> </w:t>
      </w:r>
      <w:r w:rsidRPr="006064AE">
        <w:rPr>
          <w:lang w:val="sr-Cyrl-CS"/>
        </w:rPr>
        <w:t xml:space="preserve">остварила </w:t>
      </w:r>
      <w:r>
        <w:rPr>
          <w:lang w:val="sr-Cyrl-CS"/>
        </w:rPr>
        <w:t xml:space="preserve">је </w:t>
      </w:r>
      <w:r w:rsidRPr="006064AE">
        <w:rPr>
          <w:lang w:val="sr-Cyrl-CS"/>
        </w:rPr>
        <w:t>следеће приходе и расходе:</w:t>
      </w:r>
    </w:p>
    <w:p w:rsidR="00253B32" w:rsidRPr="001959A3" w:rsidRDefault="00253B32" w:rsidP="00253B32">
      <w:pPr>
        <w:spacing w:before="0" w:line="240" w:lineRule="exact"/>
        <w:rPr>
          <w:sz w:val="20"/>
          <w:szCs w:val="20"/>
          <w:lang w:val="sr-Cyrl-CS"/>
        </w:rPr>
      </w:pPr>
      <w:r w:rsidRPr="001959A3">
        <w:rPr>
          <w:lang w:val="sr-Cyrl-CS"/>
        </w:rPr>
        <w:t xml:space="preserve">                                                                                       </w:t>
      </w:r>
      <w:r w:rsidRPr="001959A3">
        <w:rPr>
          <w:sz w:val="20"/>
          <w:szCs w:val="20"/>
          <w:lang w:val="sr-Cyrl-CS"/>
        </w:rPr>
        <w:t xml:space="preserve">              </w:t>
      </w:r>
      <w:r>
        <w:rPr>
          <w:sz w:val="20"/>
          <w:szCs w:val="20"/>
        </w:rPr>
        <w:t xml:space="preserve">              </w:t>
      </w:r>
      <w:r w:rsidRPr="001959A3">
        <w:rPr>
          <w:sz w:val="20"/>
          <w:szCs w:val="20"/>
          <w:lang w:val="sr-Cyrl-CS"/>
        </w:rPr>
        <w:t>- износи у динарима -</w:t>
      </w:r>
    </w:p>
    <w:tbl>
      <w:tblPr>
        <w:tblW w:w="9375" w:type="dxa"/>
        <w:tblInd w:w="93" w:type="dxa"/>
        <w:tblLook w:val="0000"/>
      </w:tblPr>
      <w:tblGrid>
        <w:gridCol w:w="681"/>
        <w:gridCol w:w="1764"/>
        <w:gridCol w:w="5040"/>
        <w:gridCol w:w="1890"/>
      </w:tblGrid>
      <w:tr w:rsidR="00253B32" w:rsidRPr="006064AE" w:rsidTr="00941A8C">
        <w:trPr>
          <w:trHeight w:val="255"/>
        </w:trPr>
        <w:tc>
          <w:tcPr>
            <w:tcW w:w="93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53B32" w:rsidRPr="001959A3" w:rsidRDefault="00253B32" w:rsidP="00941A8C">
            <w:pPr>
              <w:spacing w:before="0"/>
              <w:ind w:firstLine="0"/>
              <w:jc w:val="center"/>
              <w:rPr>
                <w:rFonts w:ascii="Tahoma" w:hAnsi="Tahoma" w:cs="Tahoma"/>
                <w:bCs/>
                <w:sz w:val="20"/>
                <w:szCs w:val="20"/>
                <w:lang w:val="sr-Cyrl-CS"/>
              </w:rPr>
            </w:pPr>
            <w:r w:rsidRPr="001959A3">
              <w:rPr>
                <w:rFonts w:ascii="Tahoma" w:hAnsi="Tahoma" w:cs="Tahoma"/>
                <w:bCs/>
                <w:sz w:val="20"/>
                <w:szCs w:val="20"/>
                <w:lang w:val="sr-Cyrl-CS"/>
              </w:rPr>
              <w:t>ОСТВАРЕНИ ПРИХОДИ И РАСХОДИ</w:t>
            </w:r>
            <w:r w:rsidRPr="001959A3">
              <w:rPr>
                <w:rFonts w:ascii="Tahoma" w:hAnsi="Tahoma" w:cs="Tahoma"/>
                <w:bCs/>
                <w:sz w:val="20"/>
                <w:szCs w:val="20"/>
                <w:lang w:val="sr-Cyrl-CS"/>
              </w:rPr>
              <w:br/>
              <w:t>ПО ЗАВРШНОМ РАЧУНУ ЗА 201</w:t>
            </w:r>
            <w:r>
              <w:rPr>
                <w:rFonts w:ascii="Tahoma" w:hAnsi="Tahoma" w:cs="Tahoma"/>
                <w:bCs/>
                <w:sz w:val="20"/>
                <w:szCs w:val="20"/>
                <w:lang w:val="sr-Cyrl-CS"/>
              </w:rPr>
              <w:t>4</w:t>
            </w:r>
            <w:r w:rsidRPr="001959A3">
              <w:rPr>
                <w:rFonts w:ascii="Tahoma" w:hAnsi="Tahoma" w:cs="Tahoma"/>
                <w:bCs/>
                <w:sz w:val="20"/>
                <w:szCs w:val="20"/>
                <w:lang w:val="sr-Cyrl-CS"/>
              </w:rPr>
              <w:t>. ГОДИНУ</w:t>
            </w:r>
          </w:p>
        </w:tc>
      </w:tr>
      <w:tr w:rsidR="00253B32" w:rsidRPr="006064AE" w:rsidTr="00941A8C">
        <w:trPr>
          <w:trHeight w:val="255"/>
        </w:trPr>
        <w:tc>
          <w:tcPr>
            <w:tcW w:w="93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53B32" w:rsidRPr="006064AE" w:rsidRDefault="00253B32" w:rsidP="00941A8C">
            <w:pPr>
              <w:spacing w:before="0"/>
              <w:ind w:firstLine="0"/>
              <w:jc w:val="left"/>
              <w:rPr>
                <w:rFonts w:ascii="Tahoma" w:hAnsi="Tahoma" w:cs="Tahoma"/>
                <w:b/>
                <w:bCs/>
                <w:sz w:val="20"/>
                <w:szCs w:val="20"/>
                <w:lang w:val="sr-Cyrl-CS"/>
              </w:rPr>
            </w:pPr>
          </w:p>
        </w:tc>
      </w:tr>
      <w:tr w:rsidR="00253B32" w:rsidRPr="006064AE" w:rsidTr="00941A8C">
        <w:trPr>
          <w:trHeight w:val="255"/>
        </w:trPr>
        <w:tc>
          <w:tcPr>
            <w:tcW w:w="681"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1959A3" w:rsidRDefault="00253B32" w:rsidP="00941A8C">
            <w:pPr>
              <w:spacing w:before="0"/>
              <w:ind w:firstLine="0"/>
              <w:jc w:val="center"/>
              <w:rPr>
                <w:rFonts w:ascii="Tahoma" w:hAnsi="Tahoma" w:cs="Tahoma"/>
                <w:bCs/>
                <w:sz w:val="20"/>
                <w:szCs w:val="20"/>
                <w:lang w:val="sr-Cyrl-CS"/>
              </w:rPr>
            </w:pPr>
            <w:r w:rsidRPr="001959A3">
              <w:rPr>
                <w:rFonts w:ascii="Tahoma" w:hAnsi="Tahoma" w:cs="Tahoma"/>
                <w:bCs/>
                <w:sz w:val="20"/>
                <w:szCs w:val="20"/>
              </w:rPr>
              <w:t>Р.Б</w:t>
            </w:r>
            <w:r w:rsidRPr="001959A3">
              <w:rPr>
                <w:rFonts w:ascii="Tahoma" w:hAnsi="Tahoma" w:cs="Tahoma"/>
                <w:bCs/>
                <w:sz w:val="20"/>
                <w:szCs w:val="20"/>
                <w:lang w:val="sr-Cyrl-CS"/>
              </w:rPr>
              <w:t>.</w:t>
            </w:r>
          </w:p>
        </w:tc>
        <w:tc>
          <w:tcPr>
            <w:tcW w:w="1764" w:type="dxa"/>
            <w:vMerge w:val="restart"/>
            <w:tcBorders>
              <w:top w:val="nil"/>
              <w:left w:val="single" w:sz="4" w:space="0" w:color="auto"/>
              <w:bottom w:val="single" w:sz="4" w:space="0" w:color="auto"/>
              <w:right w:val="single" w:sz="4" w:space="0" w:color="auto"/>
            </w:tcBorders>
            <w:shd w:val="clear" w:color="auto" w:fill="auto"/>
            <w:noWrap/>
            <w:vAlign w:val="center"/>
          </w:tcPr>
          <w:p w:rsidR="00253B32" w:rsidRPr="001959A3" w:rsidRDefault="00253B32" w:rsidP="00941A8C">
            <w:pPr>
              <w:spacing w:before="0"/>
              <w:ind w:firstLine="0"/>
              <w:jc w:val="center"/>
              <w:rPr>
                <w:rFonts w:ascii="Tahoma" w:hAnsi="Tahoma" w:cs="Tahoma"/>
                <w:bCs/>
                <w:sz w:val="20"/>
                <w:szCs w:val="20"/>
              </w:rPr>
            </w:pPr>
            <w:proofErr w:type="spellStart"/>
            <w:r w:rsidRPr="001959A3">
              <w:rPr>
                <w:rFonts w:ascii="Tahoma" w:hAnsi="Tahoma" w:cs="Tahoma"/>
                <w:bCs/>
                <w:sz w:val="20"/>
                <w:szCs w:val="20"/>
              </w:rPr>
              <w:t>Конто</w:t>
            </w:r>
            <w:proofErr w:type="spellEnd"/>
          </w:p>
        </w:tc>
        <w:tc>
          <w:tcPr>
            <w:tcW w:w="5040" w:type="dxa"/>
            <w:vMerge w:val="restart"/>
            <w:tcBorders>
              <w:top w:val="nil"/>
              <w:left w:val="single" w:sz="4" w:space="0" w:color="auto"/>
              <w:bottom w:val="single" w:sz="4" w:space="0" w:color="auto"/>
              <w:right w:val="single" w:sz="4" w:space="0" w:color="auto"/>
            </w:tcBorders>
            <w:shd w:val="clear" w:color="auto" w:fill="auto"/>
            <w:noWrap/>
            <w:vAlign w:val="center"/>
          </w:tcPr>
          <w:p w:rsidR="00253B32" w:rsidRPr="001959A3" w:rsidRDefault="00253B32" w:rsidP="00941A8C">
            <w:pPr>
              <w:spacing w:before="0"/>
              <w:ind w:firstLine="0"/>
              <w:jc w:val="center"/>
              <w:rPr>
                <w:rFonts w:ascii="Tahoma" w:hAnsi="Tahoma" w:cs="Tahoma"/>
                <w:bCs/>
                <w:sz w:val="20"/>
                <w:szCs w:val="20"/>
              </w:rPr>
            </w:pPr>
            <w:r w:rsidRPr="001959A3">
              <w:rPr>
                <w:rFonts w:ascii="Tahoma" w:hAnsi="Tahoma" w:cs="Tahoma"/>
                <w:bCs/>
                <w:sz w:val="20"/>
                <w:szCs w:val="20"/>
              </w:rPr>
              <w:t>О</w:t>
            </w:r>
            <w:r w:rsidRPr="001959A3">
              <w:rPr>
                <w:rFonts w:ascii="Tahoma" w:hAnsi="Tahoma" w:cs="Tahoma"/>
                <w:bCs/>
                <w:sz w:val="20"/>
                <w:szCs w:val="20"/>
                <w:lang w:val="sr-Cyrl-CS"/>
              </w:rPr>
              <w:t xml:space="preserve"> </w:t>
            </w:r>
            <w:r w:rsidRPr="001959A3">
              <w:rPr>
                <w:rFonts w:ascii="Tahoma" w:hAnsi="Tahoma" w:cs="Tahoma"/>
                <w:bCs/>
                <w:sz w:val="20"/>
                <w:szCs w:val="20"/>
              </w:rPr>
              <w:t>п</w:t>
            </w:r>
            <w:r w:rsidRPr="001959A3">
              <w:rPr>
                <w:rFonts w:ascii="Tahoma" w:hAnsi="Tahoma" w:cs="Tahoma"/>
                <w:bCs/>
                <w:sz w:val="20"/>
                <w:szCs w:val="20"/>
                <w:lang w:val="sr-Cyrl-CS"/>
              </w:rPr>
              <w:t xml:space="preserve"> </w:t>
            </w:r>
            <w:r w:rsidRPr="001959A3">
              <w:rPr>
                <w:rFonts w:ascii="Tahoma" w:hAnsi="Tahoma" w:cs="Tahoma"/>
                <w:bCs/>
                <w:sz w:val="20"/>
                <w:szCs w:val="20"/>
              </w:rPr>
              <w:t>и</w:t>
            </w:r>
            <w:r w:rsidRPr="001959A3">
              <w:rPr>
                <w:rFonts w:ascii="Tahoma" w:hAnsi="Tahoma" w:cs="Tahoma"/>
                <w:bCs/>
                <w:sz w:val="20"/>
                <w:szCs w:val="20"/>
                <w:lang w:val="sr-Cyrl-CS"/>
              </w:rPr>
              <w:t xml:space="preserve"> </w:t>
            </w:r>
            <w:r w:rsidRPr="001959A3">
              <w:rPr>
                <w:rFonts w:ascii="Tahoma" w:hAnsi="Tahoma" w:cs="Tahoma"/>
                <w:bCs/>
                <w:sz w:val="20"/>
                <w:szCs w:val="20"/>
              </w:rPr>
              <w:t>с</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1959A3" w:rsidRDefault="00253B32" w:rsidP="00941A8C">
            <w:pPr>
              <w:spacing w:before="0"/>
              <w:ind w:firstLine="0"/>
              <w:jc w:val="center"/>
              <w:rPr>
                <w:rFonts w:ascii="Tahoma" w:hAnsi="Tahoma" w:cs="Tahoma"/>
                <w:bCs/>
                <w:sz w:val="20"/>
                <w:szCs w:val="20"/>
              </w:rPr>
            </w:pPr>
            <w:proofErr w:type="spellStart"/>
            <w:r w:rsidRPr="001959A3">
              <w:rPr>
                <w:rFonts w:ascii="Tahoma" w:hAnsi="Tahoma" w:cs="Tahoma"/>
                <w:bCs/>
                <w:sz w:val="20"/>
                <w:szCs w:val="20"/>
              </w:rPr>
              <w:t>Остварено</w:t>
            </w:r>
            <w:proofErr w:type="spellEnd"/>
            <w:r w:rsidRPr="001959A3">
              <w:rPr>
                <w:rFonts w:ascii="Tahoma" w:hAnsi="Tahoma" w:cs="Tahoma"/>
                <w:bCs/>
                <w:sz w:val="20"/>
                <w:szCs w:val="20"/>
              </w:rPr>
              <w:br/>
              <w:t>I - XII 20</w:t>
            </w:r>
            <w:r w:rsidRPr="001959A3">
              <w:rPr>
                <w:rFonts w:ascii="Tahoma" w:hAnsi="Tahoma" w:cs="Tahoma"/>
                <w:bCs/>
                <w:sz w:val="20"/>
                <w:szCs w:val="20"/>
                <w:lang w:val="sr-Cyrl-CS"/>
              </w:rPr>
              <w:t>1</w:t>
            </w:r>
            <w:r>
              <w:rPr>
                <w:rFonts w:ascii="Tahoma" w:hAnsi="Tahoma" w:cs="Tahoma"/>
                <w:bCs/>
                <w:sz w:val="20"/>
                <w:szCs w:val="20"/>
                <w:lang w:val="sr-Cyrl-CS"/>
              </w:rPr>
              <w:t>4</w:t>
            </w:r>
            <w:r w:rsidRPr="001959A3">
              <w:rPr>
                <w:rFonts w:ascii="Tahoma" w:hAnsi="Tahoma" w:cs="Tahoma"/>
                <w:bCs/>
                <w:sz w:val="20"/>
                <w:szCs w:val="20"/>
              </w:rPr>
              <w:t>.г.</w:t>
            </w:r>
          </w:p>
        </w:tc>
      </w:tr>
      <w:tr w:rsidR="00253B32" w:rsidRPr="006064AE" w:rsidTr="00941A8C">
        <w:trPr>
          <w:trHeight w:val="255"/>
        </w:trPr>
        <w:tc>
          <w:tcPr>
            <w:tcW w:w="681" w:type="dxa"/>
            <w:vMerge/>
            <w:tcBorders>
              <w:top w:val="nil"/>
              <w:left w:val="single" w:sz="4" w:space="0" w:color="auto"/>
              <w:bottom w:val="single" w:sz="4" w:space="0" w:color="auto"/>
              <w:right w:val="single" w:sz="4" w:space="0" w:color="auto"/>
            </w:tcBorders>
            <w:shd w:val="clear" w:color="auto" w:fill="auto"/>
            <w:vAlign w:val="center"/>
          </w:tcPr>
          <w:p w:rsidR="00253B32" w:rsidRPr="006064AE" w:rsidRDefault="00253B32" w:rsidP="00941A8C">
            <w:pPr>
              <w:spacing w:before="0"/>
              <w:ind w:firstLine="0"/>
              <w:jc w:val="left"/>
              <w:rPr>
                <w:rFonts w:ascii="Tahoma" w:hAnsi="Tahoma" w:cs="Tahoma"/>
                <w:b/>
                <w:bCs/>
                <w:sz w:val="20"/>
                <w:szCs w:val="20"/>
              </w:rPr>
            </w:pPr>
          </w:p>
        </w:tc>
        <w:tc>
          <w:tcPr>
            <w:tcW w:w="1764" w:type="dxa"/>
            <w:vMerge/>
            <w:tcBorders>
              <w:top w:val="nil"/>
              <w:left w:val="single" w:sz="4" w:space="0" w:color="auto"/>
              <w:bottom w:val="single" w:sz="4" w:space="0" w:color="auto"/>
              <w:right w:val="single" w:sz="4" w:space="0" w:color="auto"/>
            </w:tcBorders>
            <w:shd w:val="clear" w:color="auto" w:fill="auto"/>
            <w:vAlign w:val="center"/>
          </w:tcPr>
          <w:p w:rsidR="00253B32" w:rsidRPr="006064AE" w:rsidRDefault="00253B32" w:rsidP="00941A8C">
            <w:pPr>
              <w:spacing w:before="0"/>
              <w:ind w:firstLine="0"/>
              <w:jc w:val="left"/>
              <w:rPr>
                <w:rFonts w:ascii="Tahoma" w:hAnsi="Tahoma" w:cs="Tahoma"/>
                <w:b/>
                <w:bCs/>
                <w:sz w:val="20"/>
                <w:szCs w:val="20"/>
              </w:rPr>
            </w:pPr>
          </w:p>
        </w:tc>
        <w:tc>
          <w:tcPr>
            <w:tcW w:w="5040" w:type="dxa"/>
            <w:vMerge/>
            <w:tcBorders>
              <w:top w:val="nil"/>
              <w:left w:val="single" w:sz="4" w:space="0" w:color="auto"/>
              <w:bottom w:val="single" w:sz="4" w:space="0" w:color="auto"/>
              <w:right w:val="single" w:sz="4" w:space="0" w:color="auto"/>
            </w:tcBorders>
            <w:shd w:val="clear" w:color="auto" w:fill="auto"/>
            <w:vAlign w:val="center"/>
          </w:tcPr>
          <w:p w:rsidR="00253B32" w:rsidRPr="006064AE" w:rsidRDefault="00253B32" w:rsidP="00941A8C">
            <w:pPr>
              <w:spacing w:before="0"/>
              <w:ind w:firstLine="0"/>
              <w:jc w:val="left"/>
              <w:rPr>
                <w:rFonts w:ascii="Tahoma" w:hAnsi="Tahoma" w:cs="Tahoma"/>
                <w:b/>
                <w:bCs/>
                <w:sz w:val="20"/>
                <w:szCs w:val="20"/>
              </w:rPr>
            </w:pPr>
          </w:p>
        </w:tc>
        <w:tc>
          <w:tcPr>
            <w:tcW w:w="1890" w:type="dxa"/>
            <w:vMerge/>
            <w:tcBorders>
              <w:top w:val="nil"/>
              <w:left w:val="single" w:sz="4" w:space="0" w:color="auto"/>
              <w:bottom w:val="single" w:sz="4" w:space="0" w:color="auto"/>
              <w:right w:val="single" w:sz="4" w:space="0" w:color="auto"/>
            </w:tcBorders>
            <w:shd w:val="clear" w:color="auto" w:fill="auto"/>
            <w:vAlign w:val="center"/>
          </w:tcPr>
          <w:p w:rsidR="00253B32" w:rsidRPr="006064AE" w:rsidRDefault="00253B32" w:rsidP="00941A8C">
            <w:pPr>
              <w:spacing w:before="0"/>
              <w:ind w:firstLine="0"/>
              <w:jc w:val="left"/>
              <w:rPr>
                <w:rFonts w:ascii="Tahoma" w:hAnsi="Tahoma" w:cs="Tahoma"/>
                <w:b/>
                <w:bCs/>
                <w:sz w:val="20"/>
                <w:szCs w:val="20"/>
              </w:rPr>
            </w:pPr>
          </w:p>
        </w:tc>
      </w:tr>
      <w:tr w:rsidR="00253B32" w:rsidRPr="006064AE" w:rsidTr="00941A8C">
        <w:trPr>
          <w:trHeight w:val="270"/>
        </w:trPr>
        <w:tc>
          <w:tcPr>
            <w:tcW w:w="681" w:type="dxa"/>
            <w:tcBorders>
              <w:top w:val="nil"/>
              <w:left w:val="single" w:sz="4" w:space="0" w:color="auto"/>
              <w:bottom w:val="single" w:sz="4" w:space="0" w:color="auto"/>
              <w:right w:val="single" w:sz="4" w:space="0" w:color="auto"/>
            </w:tcBorders>
            <w:shd w:val="clear" w:color="auto" w:fill="auto"/>
            <w:noWrap/>
            <w:vAlign w:val="center"/>
          </w:tcPr>
          <w:p w:rsidR="00253B32" w:rsidRPr="00E26BA1" w:rsidRDefault="00253B32" w:rsidP="00941A8C">
            <w:pPr>
              <w:spacing w:before="0"/>
              <w:ind w:firstLine="0"/>
              <w:jc w:val="center"/>
              <w:rPr>
                <w:rFonts w:ascii="Tahoma" w:hAnsi="Tahoma" w:cs="Tahoma"/>
                <w:bCs/>
                <w:sz w:val="16"/>
                <w:szCs w:val="16"/>
              </w:rPr>
            </w:pPr>
            <w:r w:rsidRPr="00E26BA1">
              <w:rPr>
                <w:rFonts w:ascii="Tahoma" w:hAnsi="Tahoma" w:cs="Tahoma"/>
                <w:bCs/>
                <w:sz w:val="16"/>
                <w:szCs w:val="16"/>
              </w:rPr>
              <w:t>1</w:t>
            </w:r>
          </w:p>
        </w:tc>
        <w:tc>
          <w:tcPr>
            <w:tcW w:w="1764" w:type="dxa"/>
            <w:tcBorders>
              <w:top w:val="nil"/>
              <w:left w:val="nil"/>
              <w:bottom w:val="single" w:sz="4" w:space="0" w:color="auto"/>
              <w:right w:val="single" w:sz="4" w:space="0" w:color="auto"/>
            </w:tcBorders>
            <w:shd w:val="clear" w:color="auto" w:fill="auto"/>
            <w:noWrap/>
            <w:vAlign w:val="center"/>
          </w:tcPr>
          <w:p w:rsidR="00253B32" w:rsidRPr="00E26BA1" w:rsidRDefault="00253B32" w:rsidP="00941A8C">
            <w:pPr>
              <w:spacing w:before="0"/>
              <w:ind w:firstLine="0"/>
              <w:jc w:val="center"/>
              <w:rPr>
                <w:rFonts w:ascii="Tahoma" w:hAnsi="Tahoma" w:cs="Tahoma"/>
                <w:bCs/>
                <w:sz w:val="16"/>
                <w:szCs w:val="16"/>
              </w:rPr>
            </w:pPr>
            <w:r w:rsidRPr="00E26BA1">
              <w:rPr>
                <w:rFonts w:ascii="Tahoma" w:hAnsi="Tahoma" w:cs="Tahoma"/>
                <w:bCs/>
                <w:sz w:val="16"/>
                <w:szCs w:val="16"/>
              </w:rPr>
              <w:t>2</w:t>
            </w:r>
          </w:p>
        </w:tc>
        <w:tc>
          <w:tcPr>
            <w:tcW w:w="5040" w:type="dxa"/>
            <w:tcBorders>
              <w:top w:val="nil"/>
              <w:left w:val="nil"/>
              <w:bottom w:val="single" w:sz="4" w:space="0" w:color="auto"/>
              <w:right w:val="single" w:sz="4" w:space="0" w:color="auto"/>
            </w:tcBorders>
            <w:shd w:val="clear" w:color="auto" w:fill="auto"/>
            <w:noWrap/>
            <w:vAlign w:val="center"/>
          </w:tcPr>
          <w:p w:rsidR="00253B32" w:rsidRPr="00E26BA1" w:rsidRDefault="00253B32" w:rsidP="00941A8C">
            <w:pPr>
              <w:spacing w:before="0"/>
              <w:ind w:firstLine="0"/>
              <w:jc w:val="center"/>
              <w:rPr>
                <w:rFonts w:ascii="Tahoma" w:hAnsi="Tahoma" w:cs="Tahoma"/>
                <w:bCs/>
                <w:sz w:val="16"/>
                <w:szCs w:val="16"/>
              </w:rPr>
            </w:pPr>
            <w:r w:rsidRPr="00E26BA1">
              <w:rPr>
                <w:rFonts w:ascii="Tahoma" w:hAnsi="Tahoma" w:cs="Tahoma"/>
                <w:bCs/>
                <w:sz w:val="16"/>
                <w:szCs w:val="16"/>
              </w:rPr>
              <w:t>3</w:t>
            </w:r>
          </w:p>
        </w:tc>
        <w:tc>
          <w:tcPr>
            <w:tcW w:w="1890" w:type="dxa"/>
            <w:tcBorders>
              <w:top w:val="nil"/>
              <w:left w:val="nil"/>
              <w:bottom w:val="single" w:sz="4" w:space="0" w:color="auto"/>
              <w:right w:val="single" w:sz="4" w:space="0" w:color="auto"/>
            </w:tcBorders>
            <w:shd w:val="clear" w:color="auto" w:fill="auto"/>
            <w:noWrap/>
            <w:vAlign w:val="center"/>
          </w:tcPr>
          <w:p w:rsidR="00253B32" w:rsidRPr="00E26BA1" w:rsidRDefault="00253B32" w:rsidP="00941A8C">
            <w:pPr>
              <w:spacing w:before="0"/>
              <w:ind w:firstLine="0"/>
              <w:jc w:val="center"/>
              <w:rPr>
                <w:rFonts w:ascii="Tahoma" w:hAnsi="Tahoma" w:cs="Tahoma"/>
                <w:bCs/>
                <w:sz w:val="16"/>
                <w:szCs w:val="16"/>
              </w:rPr>
            </w:pPr>
            <w:r w:rsidRPr="00E26BA1">
              <w:rPr>
                <w:rFonts w:ascii="Tahoma" w:hAnsi="Tahoma" w:cs="Tahoma"/>
                <w:bCs/>
                <w:sz w:val="16"/>
                <w:szCs w:val="16"/>
              </w:rPr>
              <w:t>5</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lang w:val="sr-Cyrl-CS"/>
              </w:rPr>
            </w:pPr>
            <w:r w:rsidRPr="001959A3">
              <w:rPr>
                <w:rFonts w:ascii="Tahoma" w:hAnsi="Tahoma" w:cs="Tahoma"/>
                <w:sz w:val="20"/>
                <w:szCs w:val="20"/>
              </w:rPr>
              <w:t>I</w:t>
            </w:r>
          </w:p>
        </w:tc>
        <w:tc>
          <w:tcPr>
            <w:tcW w:w="1764"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left"/>
              <w:rPr>
                <w:rFonts w:ascii="Tahoma" w:hAnsi="Tahoma" w:cs="Tahoma"/>
                <w:bCs/>
                <w:sz w:val="20"/>
                <w:szCs w:val="20"/>
              </w:rPr>
            </w:pPr>
            <w:r w:rsidRPr="001959A3">
              <w:rPr>
                <w:rFonts w:ascii="Tahoma" w:hAnsi="Tahoma" w:cs="Tahoma"/>
                <w:bCs/>
                <w:sz w:val="20"/>
                <w:szCs w:val="20"/>
              </w:rPr>
              <w:t>ПРИХОДИ:</w:t>
            </w:r>
          </w:p>
        </w:tc>
        <w:tc>
          <w:tcPr>
            <w:tcW w:w="1890" w:type="dxa"/>
            <w:tcBorders>
              <w:top w:val="nil"/>
              <w:left w:val="nil"/>
              <w:bottom w:val="single" w:sz="4" w:space="0" w:color="auto"/>
              <w:right w:val="single" w:sz="4" w:space="0" w:color="auto"/>
            </w:tcBorders>
            <w:shd w:val="clear" w:color="auto" w:fill="auto"/>
            <w:noWrap/>
            <w:vAlign w:val="bottom"/>
          </w:tcPr>
          <w:p w:rsidR="00253B32" w:rsidRPr="00F972F9"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40,127,589.22</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253B32" w:rsidRPr="003F0568" w:rsidRDefault="00253B32" w:rsidP="00941A8C">
            <w:pPr>
              <w:spacing w:before="0"/>
              <w:ind w:firstLine="0"/>
              <w:jc w:val="center"/>
              <w:rPr>
                <w:rFonts w:ascii="Tahoma" w:hAnsi="Tahoma" w:cs="Tahoma"/>
                <w:sz w:val="20"/>
                <w:szCs w:val="20"/>
                <w:lang w:val="sr-Cyrl-CS"/>
              </w:rPr>
            </w:pPr>
            <w:r>
              <w:rPr>
                <w:rFonts w:ascii="Tahoma" w:hAnsi="Tahoma" w:cs="Tahoma"/>
                <w:sz w:val="20"/>
                <w:szCs w:val="20"/>
              </w:rPr>
              <w:t>6</w:t>
            </w:r>
            <w:r>
              <w:rPr>
                <w:rFonts w:ascii="Tahoma" w:hAnsi="Tahoma" w:cs="Tahoma"/>
                <w:sz w:val="20"/>
                <w:szCs w:val="20"/>
                <w:lang w:val="sr-Cyrl-CS"/>
              </w:rPr>
              <w:t>30</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Приходи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од</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чланарина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EF530E" w:rsidRDefault="00253B32" w:rsidP="00941A8C">
            <w:pPr>
              <w:spacing w:before="0"/>
              <w:ind w:firstLine="0"/>
              <w:jc w:val="right"/>
              <w:rPr>
                <w:rFonts w:ascii="Tahoma" w:hAnsi="Tahoma" w:cs="Tahoma"/>
                <w:sz w:val="20"/>
                <w:szCs w:val="20"/>
              </w:rPr>
            </w:pPr>
            <w:r>
              <w:rPr>
                <w:rFonts w:ascii="Tahoma" w:hAnsi="Tahoma" w:cs="Tahoma"/>
                <w:bCs/>
                <w:sz w:val="20"/>
                <w:szCs w:val="20"/>
                <w:lang w:val="sr-Cyrl-CS"/>
              </w:rPr>
              <w:t>39,255,895.35</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F856B6" w:rsidRDefault="00253B32" w:rsidP="00941A8C">
            <w:pPr>
              <w:spacing w:before="0"/>
              <w:ind w:firstLine="0"/>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253B32" w:rsidRPr="00EF530E"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651,</w:t>
            </w:r>
            <w:r>
              <w:rPr>
                <w:rFonts w:ascii="Tahoma" w:hAnsi="Tahoma" w:cs="Tahoma"/>
                <w:sz w:val="20"/>
                <w:szCs w:val="20"/>
              </w:rPr>
              <w:t>661,662</w:t>
            </w:r>
            <w:r>
              <w:rPr>
                <w:rFonts w:ascii="Tahoma" w:hAnsi="Tahoma" w:cs="Tahoma"/>
                <w:sz w:val="20"/>
                <w:szCs w:val="20"/>
                <w:lang w:val="sr-Cyrl-CS"/>
              </w:rPr>
              <w:t>,679</w:t>
            </w:r>
          </w:p>
        </w:tc>
        <w:tc>
          <w:tcPr>
            <w:tcW w:w="5040" w:type="dxa"/>
            <w:tcBorders>
              <w:top w:val="nil"/>
              <w:left w:val="nil"/>
              <w:bottom w:val="single" w:sz="4" w:space="0" w:color="auto"/>
              <w:right w:val="single" w:sz="4" w:space="0" w:color="auto"/>
            </w:tcBorders>
            <w:shd w:val="clear" w:color="auto" w:fill="auto"/>
            <w:noWrap/>
            <w:vAlign w:val="bottom"/>
          </w:tcPr>
          <w:p w:rsidR="00253B32" w:rsidRPr="00EF530E"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Приходи од камата</w:t>
            </w:r>
            <w:r>
              <w:rPr>
                <w:rFonts w:ascii="Tahoma" w:hAnsi="Tahoma" w:cs="Tahoma"/>
                <w:sz w:val="20"/>
                <w:szCs w:val="20"/>
              </w:rPr>
              <w:t xml:space="preserve"> </w:t>
            </w:r>
            <w:r>
              <w:rPr>
                <w:rFonts w:ascii="Tahoma" w:hAnsi="Tahoma" w:cs="Tahoma"/>
                <w:sz w:val="20"/>
                <w:szCs w:val="20"/>
                <w:lang w:val="sr-Cyrl-CS"/>
              </w:rPr>
              <w:t>и остали приходи</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871,693.87</w:t>
            </w:r>
          </w:p>
        </w:tc>
      </w:tr>
      <w:tr w:rsidR="00253B32" w:rsidRPr="006064AE" w:rsidTr="00941A8C">
        <w:trPr>
          <w:trHeight w:val="2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lang w:val="sr-Cyrl-CS"/>
              </w:rPr>
            </w:pPr>
            <w:r w:rsidRPr="001959A3">
              <w:rPr>
                <w:rFonts w:ascii="Tahoma" w:hAnsi="Tahoma" w:cs="Tahoma"/>
                <w:sz w:val="20"/>
                <w:szCs w:val="20"/>
              </w:rPr>
              <w:t>II</w:t>
            </w:r>
          </w:p>
        </w:tc>
        <w:tc>
          <w:tcPr>
            <w:tcW w:w="1764" w:type="dxa"/>
            <w:tcBorders>
              <w:top w:val="single" w:sz="4" w:space="0" w:color="auto"/>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rPr>
            </w:pPr>
            <w:r w:rsidRPr="001959A3">
              <w:rPr>
                <w:rFonts w:ascii="Tahoma" w:hAnsi="Tahoma" w:cs="Tahoma"/>
                <w:sz w:val="20"/>
                <w:szCs w:val="20"/>
              </w:rPr>
              <w:t> </w:t>
            </w: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left"/>
              <w:rPr>
                <w:rFonts w:ascii="Tahoma" w:hAnsi="Tahoma" w:cs="Tahoma"/>
                <w:bCs/>
                <w:sz w:val="20"/>
                <w:szCs w:val="20"/>
              </w:rPr>
            </w:pPr>
            <w:r w:rsidRPr="001959A3">
              <w:rPr>
                <w:rFonts w:ascii="Tahoma" w:hAnsi="Tahoma" w:cs="Tahoma"/>
                <w:bCs/>
                <w:sz w:val="20"/>
                <w:szCs w:val="20"/>
              </w:rPr>
              <w:t>РАСХОДИ:</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38,938,713.18</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1</w:t>
            </w:r>
          </w:p>
        </w:tc>
        <w:tc>
          <w:tcPr>
            <w:tcW w:w="1764" w:type="dxa"/>
            <w:tcBorders>
              <w:top w:val="nil"/>
              <w:left w:val="nil"/>
              <w:bottom w:val="single" w:sz="4" w:space="0" w:color="auto"/>
              <w:right w:val="single" w:sz="4" w:space="0" w:color="auto"/>
            </w:tcBorders>
            <w:shd w:val="clear" w:color="auto" w:fill="auto"/>
            <w:noWrap/>
            <w:vAlign w:val="bottom"/>
          </w:tcPr>
          <w:p w:rsidR="00253B32" w:rsidRPr="003F0568" w:rsidRDefault="00253B32" w:rsidP="00941A8C">
            <w:pPr>
              <w:spacing w:before="0"/>
              <w:ind w:firstLine="0"/>
              <w:jc w:val="center"/>
              <w:rPr>
                <w:rFonts w:ascii="Tahoma" w:hAnsi="Tahoma" w:cs="Tahoma"/>
                <w:sz w:val="20"/>
                <w:szCs w:val="20"/>
                <w:lang w:val="sr-Cyrl-CS"/>
              </w:rPr>
            </w:pPr>
            <w:r>
              <w:rPr>
                <w:rFonts w:ascii="Tahoma" w:hAnsi="Tahoma" w:cs="Tahoma"/>
                <w:sz w:val="20"/>
                <w:szCs w:val="20"/>
              </w:rPr>
              <w:t>51</w:t>
            </w:r>
            <w:r>
              <w:rPr>
                <w:rFonts w:ascii="Tahoma" w:hAnsi="Tahoma" w:cs="Tahoma"/>
                <w:sz w:val="20"/>
                <w:szCs w:val="20"/>
                <w:lang w:val="sr-Cyrl-CS"/>
              </w:rPr>
              <w:t>1</w:t>
            </w:r>
          </w:p>
        </w:tc>
        <w:tc>
          <w:tcPr>
            <w:tcW w:w="5040" w:type="dxa"/>
            <w:tcBorders>
              <w:top w:val="nil"/>
              <w:left w:val="nil"/>
              <w:bottom w:val="single" w:sz="4" w:space="0" w:color="auto"/>
              <w:right w:val="single" w:sz="4" w:space="0" w:color="auto"/>
            </w:tcBorders>
            <w:shd w:val="clear" w:color="auto" w:fill="auto"/>
            <w:noWrap/>
            <w:vAlign w:val="bottom"/>
          </w:tcPr>
          <w:p w:rsidR="00253B32" w:rsidRPr="00F856B6" w:rsidRDefault="00253B32" w:rsidP="00941A8C">
            <w:pPr>
              <w:spacing w:before="0"/>
              <w:ind w:firstLine="0"/>
              <w:jc w:val="left"/>
              <w:rPr>
                <w:rFonts w:ascii="Tahoma" w:hAnsi="Tahoma" w:cs="Tahoma"/>
                <w:sz w:val="20"/>
                <w:szCs w:val="20"/>
                <w:lang w:val="sr-Cyrl-CS"/>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материјала</w:t>
            </w:r>
            <w:proofErr w:type="spellEnd"/>
            <w:r>
              <w:rPr>
                <w:rFonts w:ascii="Tahoma" w:hAnsi="Tahoma" w:cs="Tahoma"/>
                <w:sz w:val="20"/>
                <w:szCs w:val="20"/>
                <w:lang w:val="sr-Cyrl-CS"/>
              </w:rPr>
              <w:t xml:space="preserve"> и ситног инвентара</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193,528.61</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2</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513</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горива</w:t>
            </w:r>
            <w:proofErr w:type="spellEnd"/>
            <w:r w:rsidRPr="006064AE">
              <w:rPr>
                <w:rFonts w:ascii="Tahoma" w:hAnsi="Tahoma" w:cs="Tahoma"/>
                <w:sz w:val="20"/>
                <w:szCs w:val="20"/>
              </w:rPr>
              <w:t xml:space="preserve"> и </w:t>
            </w:r>
            <w:proofErr w:type="spellStart"/>
            <w:r w:rsidRPr="006064AE">
              <w:rPr>
                <w:rFonts w:ascii="Tahoma" w:hAnsi="Tahoma" w:cs="Tahoma"/>
                <w:sz w:val="20"/>
                <w:szCs w:val="20"/>
              </w:rPr>
              <w:t>енергије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1,351,068.68</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3</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520</w:t>
            </w:r>
          </w:p>
        </w:tc>
        <w:tc>
          <w:tcPr>
            <w:tcW w:w="5040" w:type="dxa"/>
            <w:tcBorders>
              <w:top w:val="nil"/>
              <w:left w:val="nil"/>
              <w:bottom w:val="single" w:sz="4" w:space="0" w:color="auto"/>
              <w:right w:val="single" w:sz="4" w:space="0" w:color="auto"/>
            </w:tcBorders>
            <w:shd w:val="clear" w:color="auto" w:fill="auto"/>
            <w:noWrap/>
            <w:vAlign w:val="bottom"/>
          </w:tcPr>
          <w:p w:rsidR="00253B32" w:rsidRPr="00510099"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Б</w:t>
            </w:r>
            <w:proofErr w:type="spellStart"/>
            <w:r w:rsidRPr="006064AE">
              <w:rPr>
                <w:rFonts w:ascii="Tahoma" w:hAnsi="Tahoma" w:cs="Tahoma"/>
                <w:sz w:val="20"/>
                <w:szCs w:val="20"/>
              </w:rPr>
              <w:t>руто</w:t>
            </w:r>
            <w:proofErr w:type="spellEnd"/>
            <w:r>
              <w:rPr>
                <w:rFonts w:ascii="Tahoma" w:hAnsi="Tahoma" w:cs="Tahoma"/>
                <w:sz w:val="20"/>
                <w:szCs w:val="20"/>
                <w:lang w:val="sr-Cyrl-CS"/>
              </w:rPr>
              <w:t xml:space="preserve"> зараде</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19,983,093.67</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4</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521</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Доприноси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на</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терет</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послодавца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3,545,136.28</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5</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rPr>
              <w:t>522</w:t>
            </w:r>
            <w:r w:rsidRPr="006064AE">
              <w:rPr>
                <w:rFonts w:ascii="Tahoma" w:hAnsi="Tahoma" w:cs="Tahoma"/>
                <w:sz w:val="20"/>
                <w:szCs w:val="20"/>
                <w:lang w:val="sr-Cyrl-CS"/>
              </w:rPr>
              <w:t>,525</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sidRPr="006064AE">
              <w:rPr>
                <w:rFonts w:ascii="Tahoma" w:hAnsi="Tahoma" w:cs="Tahoma"/>
                <w:sz w:val="20"/>
                <w:szCs w:val="20"/>
                <w:lang w:val="sr-Cyrl-CS"/>
              </w:rPr>
              <w:t>Накнаде по уговору о делу</w:t>
            </w:r>
          </w:p>
        </w:tc>
        <w:tc>
          <w:tcPr>
            <w:tcW w:w="1890" w:type="dxa"/>
            <w:tcBorders>
              <w:top w:val="nil"/>
              <w:left w:val="nil"/>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0.00</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6</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523</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Накнаде</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по</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ауторским</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уговорима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852,040.69</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Pr>
                <w:rFonts w:ascii="Tahoma" w:hAnsi="Tahoma" w:cs="Tahoma"/>
                <w:sz w:val="20"/>
                <w:szCs w:val="20"/>
              </w:rPr>
              <w:t>7</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524</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Pr>
                <w:rFonts w:ascii="Tahoma" w:hAnsi="Tahoma" w:cs="Tahoma"/>
                <w:sz w:val="20"/>
                <w:szCs w:val="20"/>
              </w:rPr>
              <w:t>Накнаде</w:t>
            </w:r>
            <w:proofErr w:type="spellEnd"/>
            <w:r>
              <w:rPr>
                <w:rFonts w:ascii="Tahoma" w:hAnsi="Tahoma" w:cs="Tahoma"/>
                <w:sz w:val="20"/>
                <w:szCs w:val="20"/>
              </w:rPr>
              <w:t xml:space="preserve"> </w:t>
            </w:r>
            <w:proofErr w:type="spellStart"/>
            <w:r>
              <w:rPr>
                <w:rFonts w:ascii="Tahoma" w:hAnsi="Tahoma" w:cs="Tahoma"/>
                <w:sz w:val="20"/>
                <w:szCs w:val="20"/>
              </w:rPr>
              <w:t>по</w:t>
            </w:r>
            <w:proofErr w:type="spellEnd"/>
            <w:r>
              <w:rPr>
                <w:rFonts w:ascii="Tahoma" w:hAnsi="Tahoma" w:cs="Tahoma"/>
                <w:sz w:val="20"/>
                <w:szCs w:val="20"/>
              </w:rPr>
              <w:t xml:space="preserve"> </w:t>
            </w:r>
            <w:proofErr w:type="spellStart"/>
            <w:r>
              <w:rPr>
                <w:rFonts w:ascii="Tahoma" w:hAnsi="Tahoma" w:cs="Tahoma"/>
                <w:sz w:val="20"/>
                <w:szCs w:val="20"/>
              </w:rPr>
              <w:t>угов</w:t>
            </w:r>
            <w:proofErr w:type="spellEnd"/>
            <w:r>
              <w:rPr>
                <w:rFonts w:ascii="Tahoma" w:hAnsi="Tahoma" w:cs="Tahoma"/>
                <w:sz w:val="20"/>
                <w:szCs w:val="20"/>
                <w:lang w:val="sr-Cyrl-CS"/>
              </w:rPr>
              <w:t>ору</w:t>
            </w:r>
            <w:r>
              <w:rPr>
                <w:rFonts w:ascii="Tahoma" w:hAnsi="Tahoma" w:cs="Tahoma"/>
                <w:sz w:val="20"/>
                <w:szCs w:val="20"/>
              </w:rPr>
              <w:t xml:space="preserve"> о </w:t>
            </w:r>
            <w:r>
              <w:rPr>
                <w:rFonts w:ascii="Tahoma" w:hAnsi="Tahoma" w:cs="Tahoma"/>
                <w:sz w:val="20"/>
                <w:szCs w:val="20"/>
                <w:lang w:val="sr-Cyrl-CS"/>
              </w:rPr>
              <w:t xml:space="preserve">пов. и </w:t>
            </w:r>
            <w:proofErr w:type="spellStart"/>
            <w:r>
              <w:rPr>
                <w:rFonts w:ascii="Tahoma" w:hAnsi="Tahoma" w:cs="Tahoma"/>
                <w:sz w:val="20"/>
                <w:szCs w:val="20"/>
              </w:rPr>
              <w:t>прив</w:t>
            </w:r>
            <w:proofErr w:type="spellEnd"/>
            <w:r>
              <w:rPr>
                <w:rFonts w:ascii="Tahoma" w:hAnsi="Tahoma" w:cs="Tahoma"/>
                <w:sz w:val="20"/>
                <w:szCs w:val="20"/>
              </w:rPr>
              <w:t xml:space="preserve">. </w:t>
            </w:r>
            <w:proofErr w:type="spellStart"/>
            <w:r w:rsidRPr="006064AE">
              <w:rPr>
                <w:rFonts w:ascii="Tahoma" w:hAnsi="Tahoma" w:cs="Tahoma"/>
                <w:sz w:val="20"/>
                <w:szCs w:val="20"/>
              </w:rPr>
              <w:t>пословима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253B32" w:rsidRPr="004918FA" w:rsidRDefault="00253B32" w:rsidP="00941A8C">
            <w:pPr>
              <w:spacing w:before="0"/>
              <w:ind w:firstLine="0"/>
              <w:jc w:val="center"/>
              <w:rPr>
                <w:rFonts w:ascii="Tahoma" w:hAnsi="Tahoma" w:cs="Tahoma"/>
                <w:sz w:val="20"/>
                <w:szCs w:val="20"/>
              </w:rPr>
            </w:pPr>
            <w:r>
              <w:rPr>
                <w:rFonts w:ascii="Tahoma" w:hAnsi="Tahoma" w:cs="Tahoma"/>
                <w:sz w:val="20"/>
                <w:szCs w:val="20"/>
                <w:lang w:val="sr-Cyrl-CS"/>
              </w:rPr>
              <w:t>529</w:t>
            </w:r>
            <w:r>
              <w:rPr>
                <w:rFonts w:ascii="Tahoma" w:hAnsi="Tahoma" w:cs="Tahoma"/>
                <w:sz w:val="20"/>
                <w:szCs w:val="20"/>
              </w:rPr>
              <w:t>00</w:t>
            </w:r>
          </w:p>
        </w:tc>
        <w:tc>
          <w:tcPr>
            <w:tcW w:w="5040" w:type="dxa"/>
            <w:tcBorders>
              <w:top w:val="nil"/>
              <w:left w:val="nil"/>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накнаде председнику УО</w:t>
            </w:r>
          </w:p>
        </w:tc>
        <w:tc>
          <w:tcPr>
            <w:tcW w:w="1890" w:type="dxa"/>
            <w:tcBorders>
              <w:top w:val="nil"/>
              <w:left w:val="nil"/>
              <w:bottom w:val="single" w:sz="4" w:space="0" w:color="auto"/>
              <w:right w:val="single" w:sz="4" w:space="0" w:color="auto"/>
            </w:tcBorders>
            <w:shd w:val="clear" w:color="auto" w:fill="auto"/>
            <w:noWrap/>
            <w:vAlign w:val="bottom"/>
          </w:tcPr>
          <w:p w:rsidR="00253B32" w:rsidRPr="00CC5DB1" w:rsidRDefault="00253B32" w:rsidP="00941A8C">
            <w:pPr>
              <w:spacing w:before="0"/>
              <w:ind w:firstLine="0"/>
              <w:jc w:val="right"/>
              <w:rPr>
                <w:rFonts w:ascii="Tahoma" w:hAnsi="Tahoma" w:cs="Tahoma"/>
                <w:sz w:val="20"/>
                <w:szCs w:val="20"/>
              </w:rPr>
            </w:pPr>
            <w:r w:rsidRPr="00CC5DB1">
              <w:rPr>
                <w:rFonts w:ascii="Tahoma" w:hAnsi="Tahoma" w:cs="Tahoma"/>
                <w:sz w:val="20"/>
                <w:szCs w:val="20"/>
              </w:rPr>
              <w:t>657</w:t>
            </w:r>
            <w:r w:rsidRPr="00CC5DB1">
              <w:rPr>
                <w:rFonts w:ascii="Tahoma" w:hAnsi="Tahoma" w:cs="Tahoma"/>
                <w:sz w:val="20"/>
                <w:szCs w:val="20"/>
                <w:lang w:val="sr-Cyrl-CS"/>
              </w:rPr>
              <w:t>,</w:t>
            </w:r>
            <w:r w:rsidRPr="00CC5DB1">
              <w:rPr>
                <w:rFonts w:ascii="Tahoma" w:hAnsi="Tahoma" w:cs="Tahoma"/>
                <w:sz w:val="20"/>
                <w:szCs w:val="20"/>
              </w:rPr>
              <w:t>018</w:t>
            </w:r>
            <w:r>
              <w:rPr>
                <w:rFonts w:ascii="Tahoma" w:hAnsi="Tahoma" w:cs="Tahoma"/>
                <w:sz w:val="20"/>
                <w:szCs w:val="20"/>
              </w:rPr>
              <w:t>.73</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8-1</w:t>
            </w:r>
          </w:p>
        </w:tc>
        <w:tc>
          <w:tcPr>
            <w:tcW w:w="1764" w:type="dxa"/>
            <w:tcBorders>
              <w:top w:val="nil"/>
              <w:left w:val="nil"/>
              <w:bottom w:val="single" w:sz="4" w:space="0" w:color="auto"/>
              <w:right w:val="single" w:sz="4" w:space="0" w:color="auto"/>
            </w:tcBorders>
            <w:shd w:val="clear" w:color="auto" w:fill="auto"/>
            <w:noWrap/>
            <w:vAlign w:val="bottom"/>
          </w:tcPr>
          <w:p w:rsidR="00253B3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529-2</w:t>
            </w:r>
          </w:p>
        </w:tc>
        <w:tc>
          <w:tcPr>
            <w:tcW w:w="5040" w:type="dxa"/>
            <w:tcBorders>
              <w:top w:val="nil"/>
              <w:left w:val="nil"/>
              <w:bottom w:val="single" w:sz="4" w:space="0" w:color="auto"/>
              <w:right w:val="single" w:sz="4" w:space="0" w:color="auto"/>
            </w:tcBorders>
            <w:shd w:val="clear" w:color="auto" w:fill="auto"/>
            <w:noWrap/>
            <w:vAlign w:val="bottom"/>
          </w:tcPr>
          <w:p w:rsidR="00253B32"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накнаде заменику председника УО</w:t>
            </w:r>
          </w:p>
        </w:tc>
        <w:tc>
          <w:tcPr>
            <w:tcW w:w="1890" w:type="dxa"/>
            <w:tcBorders>
              <w:top w:val="nil"/>
              <w:left w:val="nil"/>
              <w:bottom w:val="single" w:sz="4" w:space="0" w:color="auto"/>
              <w:right w:val="single" w:sz="4" w:space="0" w:color="auto"/>
            </w:tcBorders>
            <w:shd w:val="clear" w:color="auto" w:fill="auto"/>
            <w:noWrap/>
            <w:vAlign w:val="bottom"/>
          </w:tcPr>
          <w:p w:rsidR="00253B32" w:rsidRPr="00CC5DB1" w:rsidRDefault="00253B32" w:rsidP="00941A8C">
            <w:pPr>
              <w:spacing w:before="0"/>
              <w:ind w:firstLine="0"/>
              <w:jc w:val="right"/>
              <w:rPr>
                <w:rFonts w:ascii="Tahoma" w:hAnsi="Tahoma" w:cs="Tahoma"/>
                <w:sz w:val="20"/>
                <w:szCs w:val="20"/>
                <w:lang w:val="sr-Cyrl-CS"/>
              </w:rPr>
            </w:pPr>
            <w:r w:rsidRPr="00CC5DB1">
              <w:rPr>
                <w:rFonts w:ascii="Tahoma" w:hAnsi="Tahoma" w:cs="Tahoma"/>
                <w:sz w:val="20"/>
                <w:szCs w:val="20"/>
                <w:lang w:val="sr-Cyrl-CS"/>
              </w:rPr>
              <w:t>347,934.04</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9</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529</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Остали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лични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расходи</w:t>
            </w:r>
            <w:proofErr w:type="spellEnd"/>
            <w:r w:rsidRPr="006064AE">
              <w:rPr>
                <w:rFonts w:ascii="Tahoma" w:hAnsi="Tahoma" w:cs="Tahoma"/>
                <w:sz w:val="20"/>
                <w:szCs w:val="20"/>
              </w:rPr>
              <w:t xml:space="preserve"> и </w:t>
            </w:r>
            <w:proofErr w:type="spellStart"/>
            <w:r w:rsidRPr="006064AE">
              <w:rPr>
                <w:rFonts w:ascii="Tahoma" w:hAnsi="Tahoma" w:cs="Tahoma"/>
                <w:sz w:val="20"/>
                <w:szCs w:val="20"/>
              </w:rPr>
              <w:t>накнаде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CC5DB1" w:rsidRDefault="00253B32" w:rsidP="00941A8C">
            <w:pPr>
              <w:spacing w:before="0"/>
              <w:ind w:firstLine="0"/>
              <w:jc w:val="right"/>
              <w:rPr>
                <w:rFonts w:ascii="Tahoma" w:hAnsi="Tahoma" w:cs="Tahoma"/>
                <w:sz w:val="20"/>
                <w:szCs w:val="20"/>
              </w:rPr>
            </w:pPr>
            <w:r w:rsidRPr="00CC5DB1">
              <w:rPr>
                <w:rFonts w:ascii="Tahoma" w:hAnsi="Tahoma" w:cs="Tahoma"/>
                <w:sz w:val="20"/>
                <w:szCs w:val="20"/>
                <w:lang w:val="sr-Cyrl-CS"/>
              </w:rPr>
              <w:t>1,</w:t>
            </w:r>
            <w:r w:rsidRPr="00CC5DB1">
              <w:rPr>
                <w:rFonts w:ascii="Tahoma" w:hAnsi="Tahoma" w:cs="Tahoma"/>
                <w:sz w:val="20"/>
                <w:szCs w:val="20"/>
              </w:rPr>
              <w:t>640</w:t>
            </w:r>
            <w:r w:rsidRPr="00CC5DB1">
              <w:rPr>
                <w:rFonts w:ascii="Tahoma" w:hAnsi="Tahoma" w:cs="Tahoma"/>
                <w:sz w:val="20"/>
                <w:szCs w:val="20"/>
                <w:lang w:val="sr-Cyrl-CS"/>
              </w:rPr>
              <w:t>,</w:t>
            </w:r>
            <w:r w:rsidRPr="00CC5DB1">
              <w:rPr>
                <w:rFonts w:ascii="Tahoma" w:hAnsi="Tahoma" w:cs="Tahoma"/>
                <w:sz w:val="20"/>
                <w:szCs w:val="20"/>
              </w:rPr>
              <w:t>502</w:t>
            </w:r>
            <w:r>
              <w:rPr>
                <w:rFonts w:ascii="Tahoma" w:hAnsi="Tahoma" w:cs="Tahoma"/>
                <w:sz w:val="20"/>
                <w:szCs w:val="20"/>
              </w:rPr>
              <w:t>.39</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10</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531</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транспортних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r w:rsidRPr="006064AE">
              <w:rPr>
                <w:rFonts w:ascii="Tahoma" w:hAnsi="Tahoma" w:cs="Tahoma"/>
                <w:sz w:val="20"/>
                <w:szCs w:val="20"/>
              </w:rPr>
              <w:t xml:space="preserve"> и ПТТ </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704,333.43</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1</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532</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одржавања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1,517,338.64</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2</w:t>
            </w:r>
          </w:p>
        </w:tc>
        <w:tc>
          <w:tcPr>
            <w:tcW w:w="1764" w:type="dxa"/>
            <w:tcBorders>
              <w:top w:val="nil"/>
              <w:left w:val="nil"/>
              <w:bottom w:val="single" w:sz="4" w:space="0" w:color="auto"/>
              <w:right w:val="single" w:sz="4" w:space="0" w:color="auto"/>
            </w:tcBorders>
            <w:shd w:val="clear" w:color="auto" w:fill="auto"/>
            <w:noWrap/>
            <w:vAlign w:val="bottom"/>
          </w:tcPr>
          <w:p w:rsidR="00253B32" w:rsidRPr="00FB4F67" w:rsidRDefault="00253B32" w:rsidP="00941A8C">
            <w:pPr>
              <w:spacing w:before="0"/>
              <w:ind w:firstLine="0"/>
              <w:jc w:val="center"/>
              <w:rPr>
                <w:rFonts w:ascii="Tahoma" w:hAnsi="Tahoma" w:cs="Tahoma"/>
                <w:sz w:val="20"/>
                <w:szCs w:val="20"/>
                <w:lang w:val="sr-Cyrl-CS"/>
              </w:rPr>
            </w:pPr>
            <w:r>
              <w:rPr>
                <w:rFonts w:ascii="Tahoma" w:hAnsi="Tahoma" w:cs="Tahoma"/>
                <w:sz w:val="20"/>
                <w:szCs w:val="20"/>
              </w:rPr>
              <w:t>533</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закупа</w:t>
            </w:r>
            <w:proofErr w:type="spellEnd"/>
            <w:r w:rsidRPr="006064AE">
              <w:rPr>
                <w:rFonts w:ascii="Tahoma" w:hAnsi="Tahoma" w:cs="Tahoma"/>
                <w:sz w:val="20"/>
                <w:szCs w:val="20"/>
              </w:rPr>
              <w:t xml:space="preserve"> </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0.00</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3</w:t>
            </w:r>
          </w:p>
        </w:tc>
        <w:tc>
          <w:tcPr>
            <w:tcW w:w="1764" w:type="dxa"/>
            <w:tcBorders>
              <w:top w:val="nil"/>
              <w:left w:val="nil"/>
              <w:bottom w:val="single" w:sz="4" w:space="0" w:color="auto"/>
              <w:right w:val="single" w:sz="4" w:space="0" w:color="auto"/>
            </w:tcBorders>
            <w:shd w:val="clear" w:color="auto" w:fill="auto"/>
            <w:noWrap/>
            <w:vAlign w:val="bottom"/>
          </w:tcPr>
          <w:p w:rsidR="00253B32" w:rsidRPr="00514806"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 xml:space="preserve">535 и </w:t>
            </w:r>
            <w:r w:rsidRPr="006064AE">
              <w:rPr>
                <w:rFonts w:ascii="Tahoma" w:hAnsi="Tahoma" w:cs="Tahoma"/>
                <w:sz w:val="20"/>
                <w:szCs w:val="20"/>
              </w:rPr>
              <w:t>539</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производних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1,552,629.99</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rPr>
              <w:t>1</w:t>
            </w:r>
            <w:r>
              <w:rPr>
                <w:rFonts w:ascii="Tahoma" w:hAnsi="Tahoma" w:cs="Tahoma"/>
                <w:sz w:val="20"/>
                <w:szCs w:val="20"/>
                <w:lang w:val="sr-Cyrl-CS"/>
              </w:rPr>
              <w:t>4</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540</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амортизације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2,843,509.92</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lang w:val="sr-Cyrl-CS"/>
              </w:rPr>
              <w:t>1</w:t>
            </w:r>
            <w:r>
              <w:rPr>
                <w:rFonts w:ascii="Tahoma" w:hAnsi="Tahoma" w:cs="Tahoma"/>
                <w:sz w:val="20"/>
                <w:szCs w:val="20"/>
                <w:lang w:val="sr-Cyrl-CS"/>
              </w:rPr>
              <w:t>5</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550</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непроизводних</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услуга</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748,427.27</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16</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rPr>
            </w:pPr>
            <w:r w:rsidRPr="006064AE">
              <w:rPr>
                <w:rFonts w:ascii="Tahoma" w:hAnsi="Tahoma" w:cs="Tahoma"/>
                <w:sz w:val="20"/>
                <w:szCs w:val="20"/>
              </w:rPr>
              <w:t>551</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rPr>
            </w:pPr>
            <w:proofErr w:type="spellStart"/>
            <w:r w:rsidRPr="006064AE">
              <w:rPr>
                <w:rFonts w:ascii="Tahoma" w:hAnsi="Tahoma" w:cs="Tahoma"/>
                <w:sz w:val="20"/>
                <w:szCs w:val="20"/>
              </w:rPr>
              <w:t>Трошкови</w:t>
            </w:r>
            <w:proofErr w:type="spellEnd"/>
            <w:r w:rsidRPr="006064AE">
              <w:rPr>
                <w:rFonts w:ascii="Tahoma" w:hAnsi="Tahoma" w:cs="Tahoma"/>
                <w:sz w:val="20"/>
                <w:szCs w:val="20"/>
              </w:rPr>
              <w:t xml:space="preserve"> </w:t>
            </w:r>
            <w:proofErr w:type="spellStart"/>
            <w:r w:rsidRPr="006064AE">
              <w:rPr>
                <w:rFonts w:ascii="Tahoma" w:hAnsi="Tahoma" w:cs="Tahoma"/>
                <w:sz w:val="20"/>
                <w:szCs w:val="20"/>
              </w:rPr>
              <w:t>репрезентације</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564,336.95</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16-1</w:t>
            </w:r>
          </w:p>
        </w:tc>
        <w:tc>
          <w:tcPr>
            <w:tcW w:w="1764" w:type="dxa"/>
            <w:tcBorders>
              <w:top w:val="nil"/>
              <w:left w:val="nil"/>
              <w:bottom w:val="single" w:sz="4" w:space="0" w:color="auto"/>
              <w:right w:val="single" w:sz="4" w:space="0" w:color="auto"/>
            </w:tcBorders>
            <w:shd w:val="clear" w:color="auto" w:fill="auto"/>
            <w:noWrap/>
            <w:vAlign w:val="bottom"/>
          </w:tcPr>
          <w:p w:rsidR="00253B32" w:rsidRPr="005A34D5"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551-1</w:t>
            </w:r>
          </w:p>
        </w:tc>
        <w:tc>
          <w:tcPr>
            <w:tcW w:w="5040" w:type="dxa"/>
            <w:tcBorders>
              <w:top w:val="nil"/>
              <w:left w:val="nil"/>
              <w:bottom w:val="single" w:sz="4" w:space="0" w:color="auto"/>
              <w:right w:val="single" w:sz="4" w:space="0" w:color="auto"/>
            </w:tcBorders>
            <w:shd w:val="clear" w:color="auto" w:fill="auto"/>
            <w:noWrap/>
            <w:vAlign w:val="bottom"/>
          </w:tcPr>
          <w:p w:rsidR="00253B32" w:rsidRPr="005A34D5"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репрезентације „НОРЕ“</w:t>
            </w:r>
          </w:p>
        </w:tc>
        <w:tc>
          <w:tcPr>
            <w:tcW w:w="1890" w:type="dxa"/>
            <w:tcBorders>
              <w:top w:val="nil"/>
              <w:left w:val="nil"/>
              <w:bottom w:val="single" w:sz="4" w:space="0" w:color="auto"/>
              <w:right w:val="single" w:sz="4" w:space="0" w:color="auto"/>
            </w:tcBorders>
            <w:shd w:val="clear" w:color="auto" w:fill="auto"/>
            <w:noWrap/>
            <w:vAlign w:val="bottom"/>
          </w:tcPr>
          <w:p w:rsidR="00253B32"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304,811.60</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7</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lang w:val="sr-Cyrl-CS"/>
              </w:rPr>
              <w:t>552</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sidRPr="006064AE">
              <w:rPr>
                <w:rFonts w:ascii="Tahoma" w:hAnsi="Tahoma" w:cs="Tahoma"/>
                <w:sz w:val="20"/>
                <w:szCs w:val="20"/>
                <w:lang w:val="sr-Cyrl-CS"/>
              </w:rPr>
              <w:t>Трошкови осигурања имовине</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219,376.69</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7A66C5" w:rsidRDefault="00253B32" w:rsidP="00941A8C">
            <w:pPr>
              <w:spacing w:before="0"/>
              <w:ind w:firstLine="0"/>
              <w:jc w:val="center"/>
              <w:rPr>
                <w:rFonts w:ascii="Tahoma" w:hAnsi="Tahoma" w:cs="Tahoma"/>
                <w:sz w:val="20"/>
                <w:szCs w:val="20"/>
                <w:lang w:val="sr-Cyrl-CS"/>
              </w:rPr>
            </w:pPr>
            <w:r>
              <w:rPr>
                <w:rFonts w:ascii="Tahoma" w:hAnsi="Tahoma" w:cs="Tahoma"/>
                <w:sz w:val="20"/>
                <w:szCs w:val="20"/>
              </w:rPr>
              <w:t>1</w:t>
            </w:r>
            <w:r>
              <w:rPr>
                <w:rFonts w:ascii="Tahoma" w:hAnsi="Tahoma" w:cs="Tahoma"/>
                <w:sz w:val="20"/>
                <w:szCs w:val="20"/>
                <w:lang w:val="sr-Cyrl-CS"/>
              </w:rPr>
              <w:t>8</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lang w:val="sr-Cyrl-CS"/>
              </w:rPr>
              <w:t>553</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sidRPr="006064AE">
              <w:rPr>
                <w:rFonts w:ascii="Tahoma" w:hAnsi="Tahoma" w:cs="Tahoma"/>
                <w:sz w:val="20"/>
                <w:szCs w:val="20"/>
                <w:lang w:val="sr-Cyrl-CS"/>
              </w:rPr>
              <w:t>Трошкови платног промета</w:t>
            </w:r>
            <w:r>
              <w:rPr>
                <w:rFonts w:ascii="Tahoma" w:hAnsi="Tahoma" w:cs="Tahoma"/>
                <w:sz w:val="20"/>
                <w:szCs w:val="20"/>
                <w:lang w:val="sr-Cyrl-CS"/>
              </w:rPr>
              <w:t xml:space="preserve"> и банкарских услуга</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77,377.08</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Default="00253B32" w:rsidP="00941A8C">
            <w:pPr>
              <w:spacing w:before="0"/>
              <w:ind w:firstLine="0"/>
              <w:jc w:val="center"/>
              <w:rPr>
                <w:rFonts w:ascii="Tahoma" w:hAnsi="Tahoma" w:cs="Tahoma"/>
                <w:sz w:val="20"/>
                <w:szCs w:val="20"/>
              </w:rPr>
            </w:pPr>
            <w:r>
              <w:rPr>
                <w:rFonts w:ascii="Tahoma" w:hAnsi="Tahoma" w:cs="Tahoma"/>
                <w:sz w:val="20"/>
                <w:szCs w:val="20"/>
              </w:rPr>
              <w:t>19</w:t>
            </w:r>
          </w:p>
        </w:tc>
        <w:tc>
          <w:tcPr>
            <w:tcW w:w="1764"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rPr>
            </w:pPr>
            <w:r>
              <w:rPr>
                <w:rFonts w:ascii="Tahoma" w:hAnsi="Tahoma" w:cs="Tahoma"/>
                <w:sz w:val="20"/>
                <w:szCs w:val="20"/>
              </w:rPr>
              <w:t>554</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чланарина</w:t>
            </w:r>
          </w:p>
        </w:tc>
        <w:tc>
          <w:tcPr>
            <w:tcW w:w="1890" w:type="dxa"/>
            <w:tcBorders>
              <w:top w:val="nil"/>
              <w:left w:val="nil"/>
              <w:bottom w:val="single" w:sz="4" w:space="0" w:color="auto"/>
              <w:right w:val="single" w:sz="4" w:space="0" w:color="auto"/>
            </w:tcBorders>
            <w:shd w:val="clear" w:color="auto" w:fill="auto"/>
            <w:noWrap/>
            <w:vAlign w:val="bottom"/>
          </w:tcPr>
          <w:p w:rsidR="00253B32"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288,786.00</w:t>
            </w:r>
          </w:p>
        </w:tc>
      </w:tr>
      <w:tr w:rsidR="00253B32" w:rsidRPr="00514806"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962529"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20</w:t>
            </w:r>
          </w:p>
        </w:tc>
        <w:tc>
          <w:tcPr>
            <w:tcW w:w="1764"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center"/>
              <w:rPr>
                <w:rFonts w:ascii="Tahoma" w:hAnsi="Tahoma" w:cs="Tahoma"/>
                <w:sz w:val="20"/>
                <w:szCs w:val="20"/>
                <w:lang w:val="sr-Cyrl-CS"/>
              </w:rPr>
            </w:pPr>
            <w:r w:rsidRPr="006064AE">
              <w:rPr>
                <w:rFonts w:ascii="Tahoma" w:hAnsi="Tahoma" w:cs="Tahoma"/>
                <w:sz w:val="20"/>
                <w:szCs w:val="20"/>
                <w:lang w:val="sr-Cyrl-CS"/>
              </w:rPr>
              <w:t>555</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Накн. за грађ. зем. и п</w:t>
            </w:r>
            <w:r w:rsidRPr="006064AE">
              <w:rPr>
                <w:rFonts w:ascii="Tahoma" w:hAnsi="Tahoma" w:cs="Tahoma"/>
                <w:sz w:val="20"/>
                <w:szCs w:val="20"/>
                <w:lang w:val="sr-Cyrl-CS"/>
              </w:rPr>
              <w:t>орези који терете трошкове</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661,217.65</w:t>
            </w:r>
          </w:p>
        </w:tc>
      </w:tr>
      <w:tr w:rsidR="00253B32" w:rsidRPr="00514806"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514806"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21</w:t>
            </w:r>
          </w:p>
        </w:tc>
        <w:tc>
          <w:tcPr>
            <w:tcW w:w="1764" w:type="dxa"/>
            <w:tcBorders>
              <w:top w:val="nil"/>
              <w:left w:val="nil"/>
              <w:bottom w:val="single" w:sz="4" w:space="0" w:color="auto"/>
              <w:right w:val="single" w:sz="4" w:space="0" w:color="auto"/>
            </w:tcBorders>
            <w:shd w:val="clear" w:color="auto" w:fill="auto"/>
            <w:noWrap/>
            <w:vAlign w:val="bottom"/>
          </w:tcPr>
          <w:p w:rsidR="00253B32" w:rsidRPr="00514806" w:rsidRDefault="00253B32" w:rsidP="00941A8C">
            <w:pPr>
              <w:spacing w:before="0"/>
              <w:ind w:firstLine="0"/>
              <w:jc w:val="center"/>
              <w:rPr>
                <w:rFonts w:ascii="Tahoma" w:hAnsi="Tahoma" w:cs="Tahoma"/>
                <w:sz w:val="20"/>
                <w:szCs w:val="20"/>
                <w:lang w:val="sr-Cyrl-CS"/>
              </w:rPr>
            </w:pPr>
            <w:r w:rsidRPr="00514806">
              <w:rPr>
                <w:rFonts w:ascii="Tahoma" w:hAnsi="Tahoma" w:cs="Tahoma"/>
                <w:sz w:val="20"/>
                <w:szCs w:val="20"/>
                <w:lang w:val="sr-Cyrl-CS"/>
              </w:rPr>
              <w:t>559</w:t>
            </w:r>
          </w:p>
        </w:tc>
        <w:tc>
          <w:tcPr>
            <w:tcW w:w="504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left"/>
              <w:rPr>
                <w:rFonts w:ascii="Tahoma" w:hAnsi="Tahoma" w:cs="Tahoma"/>
                <w:sz w:val="20"/>
                <w:szCs w:val="20"/>
                <w:lang w:val="sr-Cyrl-CS"/>
              </w:rPr>
            </w:pPr>
            <w:r w:rsidRPr="00514806">
              <w:rPr>
                <w:rFonts w:ascii="Tahoma" w:hAnsi="Tahoma" w:cs="Tahoma"/>
                <w:sz w:val="20"/>
                <w:szCs w:val="20"/>
                <w:lang w:val="sr-Cyrl-CS"/>
              </w:rPr>
              <w:t>Ост</w:t>
            </w:r>
            <w:r w:rsidRPr="006064AE">
              <w:rPr>
                <w:rFonts w:ascii="Tahoma" w:hAnsi="Tahoma" w:cs="Tahoma"/>
                <w:sz w:val="20"/>
                <w:szCs w:val="20"/>
                <w:lang w:val="sr-Cyrl-CS"/>
              </w:rPr>
              <w:t>.</w:t>
            </w:r>
            <w:r w:rsidRPr="00514806">
              <w:rPr>
                <w:rFonts w:ascii="Tahoma" w:hAnsi="Tahoma" w:cs="Tahoma"/>
                <w:sz w:val="20"/>
                <w:szCs w:val="20"/>
                <w:lang w:val="sr-Cyrl-CS"/>
              </w:rPr>
              <w:t xml:space="preserve"> немат</w:t>
            </w:r>
            <w:r w:rsidRPr="006064AE">
              <w:rPr>
                <w:rFonts w:ascii="Tahoma" w:hAnsi="Tahoma" w:cs="Tahoma"/>
                <w:sz w:val="20"/>
                <w:szCs w:val="20"/>
                <w:lang w:val="sr-Cyrl-CS"/>
              </w:rPr>
              <w:t>. т</w:t>
            </w:r>
            <w:r w:rsidRPr="00514806">
              <w:rPr>
                <w:rFonts w:ascii="Tahoma" w:hAnsi="Tahoma" w:cs="Tahoma"/>
                <w:sz w:val="20"/>
                <w:szCs w:val="20"/>
                <w:lang w:val="sr-Cyrl-CS"/>
              </w:rPr>
              <w:t>рошк</w:t>
            </w:r>
            <w:r w:rsidRPr="006064AE">
              <w:rPr>
                <w:rFonts w:ascii="Tahoma" w:hAnsi="Tahoma" w:cs="Tahoma"/>
                <w:sz w:val="20"/>
                <w:szCs w:val="20"/>
                <w:lang w:val="sr-Cyrl-CS"/>
              </w:rPr>
              <w:t xml:space="preserve">. </w:t>
            </w:r>
            <w:r>
              <w:rPr>
                <w:rFonts w:ascii="Tahoma" w:hAnsi="Tahoma" w:cs="Tahoma"/>
                <w:sz w:val="20"/>
                <w:szCs w:val="20"/>
                <w:lang w:val="sr-Cyrl-CS"/>
              </w:rPr>
              <w:t>(</w:t>
            </w:r>
            <w:r w:rsidRPr="006064AE">
              <w:rPr>
                <w:rFonts w:ascii="Tahoma" w:hAnsi="Tahoma" w:cs="Tahoma"/>
                <w:sz w:val="20"/>
                <w:szCs w:val="20"/>
                <w:lang w:val="sr-Cyrl-CS"/>
              </w:rPr>
              <w:t>админ.таксе, стручна литерат</w:t>
            </w:r>
            <w:r>
              <w:rPr>
                <w:rFonts w:ascii="Tahoma" w:hAnsi="Tahoma" w:cs="Tahoma"/>
                <w:sz w:val="20"/>
                <w:szCs w:val="20"/>
                <w:lang w:val="sr-Cyrl-CS"/>
              </w:rPr>
              <w:t>.)</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572,964.43</w:t>
            </w:r>
          </w:p>
        </w:tc>
      </w:tr>
      <w:tr w:rsidR="00253B32" w:rsidRPr="00E26BA1"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514806"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22</w:t>
            </w:r>
          </w:p>
        </w:tc>
        <w:tc>
          <w:tcPr>
            <w:tcW w:w="1764" w:type="dxa"/>
            <w:tcBorders>
              <w:top w:val="nil"/>
              <w:left w:val="nil"/>
              <w:bottom w:val="single" w:sz="4" w:space="0" w:color="auto"/>
              <w:right w:val="single" w:sz="4" w:space="0" w:color="auto"/>
            </w:tcBorders>
            <w:shd w:val="clear" w:color="auto" w:fill="auto"/>
            <w:noWrap/>
            <w:vAlign w:val="bottom"/>
          </w:tcPr>
          <w:p w:rsidR="00253B32" w:rsidRPr="003F0568" w:rsidRDefault="00253B32" w:rsidP="00941A8C">
            <w:pPr>
              <w:spacing w:before="0"/>
              <w:ind w:firstLine="0"/>
              <w:jc w:val="center"/>
              <w:rPr>
                <w:rFonts w:ascii="Tahoma" w:hAnsi="Tahoma" w:cs="Tahoma"/>
                <w:sz w:val="20"/>
                <w:szCs w:val="20"/>
                <w:lang w:val="sr-Cyrl-CS"/>
              </w:rPr>
            </w:pPr>
            <w:r w:rsidRPr="00514806">
              <w:rPr>
                <w:rFonts w:ascii="Tahoma" w:hAnsi="Tahoma" w:cs="Tahoma"/>
                <w:sz w:val="20"/>
                <w:szCs w:val="20"/>
                <w:lang w:val="sr-Cyrl-CS"/>
              </w:rPr>
              <w:t>562,563,579</w:t>
            </w:r>
            <w:r>
              <w:rPr>
                <w:rFonts w:ascii="Tahoma" w:hAnsi="Tahoma" w:cs="Tahoma"/>
                <w:sz w:val="20"/>
                <w:szCs w:val="20"/>
              </w:rPr>
              <w:t>,59</w:t>
            </w:r>
            <w:r>
              <w:rPr>
                <w:rFonts w:ascii="Tahoma" w:hAnsi="Tahoma" w:cs="Tahoma"/>
                <w:sz w:val="20"/>
                <w:szCs w:val="20"/>
                <w:lang w:val="sr-Cyrl-CS"/>
              </w:rPr>
              <w:t>2</w:t>
            </w:r>
          </w:p>
        </w:tc>
        <w:tc>
          <w:tcPr>
            <w:tcW w:w="5040" w:type="dxa"/>
            <w:tcBorders>
              <w:top w:val="nil"/>
              <w:left w:val="nil"/>
              <w:bottom w:val="single" w:sz="4" w:space="0" w:color="auto"/>
              <w:right w:val="single" w:sz="4" w:space="0" w:color="auto"/>
            </w:tcBorders>
            <w:shd w:val="clear" w:color="auto" w:fill="auto"/>
            <w:noWrap/>
            <w:vAlign w:val="bottom"/>
          </w:tcPr>
          <w:p w:rsidR="00253B32" w:rsidRPr="00514806" w:rsidRDefault="00253B32" w:rsidP="00941A8C">
            <w:pPr>
              <w:spacing w:before="0"/>
              <w:ind w:firstLine="0"/>
              <w:jc w:val="left"/>
              <w:rPr>
                <w:rFonts w:ascii="Tahoma" w:hAnsi="Tahoma" w:cs="Tahoma"/>
                <w:sz w:val="20"/>
                <w:szCs w:val="20"/>
                <w:lang w:val="sr-Cyrl-CS"/>
              </w:rPr>
            </w:pPr>
            <w:r w:rsidRPr="00514806">
              <w:rPr>
                <w:rFonts w:ascii="Tahoma" w:hAnsi="Tahoma" w:cs="Tahoma"/>
                <w:sz w:val="20"/>
                <w:szCs w:val="20"/>
                <w:lang w:val="sr-Cyrl-CS"/>
              </w:rPr>
              <w:t>Остали трошкови</w:t>
            </w:r>
          </w:p>
        </w:tc>
        <w:tc>
          <w:tcPr>
            <w:tcW w:w="1890" w:type="dxa"/>
            <w:tcBorders>
              <w:top w:val="nil"/>
              <w:left w:val="nil"/>
              <w:bottom w:val="single" w:sz="4" w:space="0" w:color="auto"/>
              <w:right w:val="single" w:sz="4" w:space="0" w:color="auto"/>
            </w:tcBorders>
            <w:shd w:val="clear" w:color="auto" w:fill="auto"/>
            <w:noWrap/>
            <w:vAlign w:val="bottom"/>
          </w:tcPr>
          <w:p w:rsidR="00253B32" w:rsidRPr="006064A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313,280.44</w:t>
            </w:r>
          </w:p>
        </w:tc>
      </w:tr>
      <w:tr w:rsidR="00253B32" w:rsidRPr="006064AE" w:rsidTr="00941A8C">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lang w:val="sr-Cyrl-CS"/>
              </w:rPr>
            </w:pPr>
            <w:r w:rsidRPr="001959A3">
              <w:rPr>
                <w:rFonts w:ascii="Tahoma" w:hAnsi="Tahoma" w:cs="Tahoma"/>
                <w:sz w:val="20"/>
                <w:szCs w:val="20"/>
              </w:rPr>
              <w:t> III</w:t>
            </w:r>
          </w:p>
        </w:tc>
        <w:tc>
          <w:tcPr>
            <w:tcW w:w="1764"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center"/>
              <w:rPr>
                <w:rFonts w:ascii="Tahoma" w:hAnsi="Tahoma" w:cs="Tahoma"/>
                <w:sz w:val="20"/>
                <w:szCs w:val="20"/>
                <w:lang w:val="sr-Cyrl-CS"/>
              </w:rPr>
            </w:pPr>
            <w:r w:rsidRPr="001959A3">
              <w:rPr>
                <w:rFonts w:ascii="Tahoma" w:hAnsi="Tahoma" w:cs="Tahoma"/>
                <w:sz w:val="20"/>
                <w:szCs w:val="20"/>
              </w:rPr>
              <w:t> </w:t>
            </w:r>
          </w:p>
        </w:tc>
        <w:tc>
          <w:tcPr>
            <w:tcW w:w="5040"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rPr>
                <w:rFonts w:ascii="Tahoma" w:hAnsi="Tahoma" w:cs="Tahoma"/>
                <w:sz w:val="20"/>
                <w:szCs w:val="20"/>
                <w:lang w:val="sr-Cyrl-CS"/>
              </w:rPr>
            </w:pPr>
            <w:r>
              <w:rPr>
                <w:rFonts w:ascii="Tahoma" w:hAnsi="Tahoma" w:cs="Tahoma"/>
                <w:sz w:val="20"/>
                <w:szCs w:val="20"/>
                <w:lang w:val="sr-Cyrl-CS"/>
              </w:rPr>
              <w:t>Разлика прихода и расхода (вишак прихода)</w:t>
            </w:r>
          </w:p>
        </w:tc>
        <w:tc>
          <w:tcPr>
            <w:tcW w:w="1890" w:type="dxa"/>
            <w:tcBorders>
              <w:top w:val="nil"/>
              <w:left w:val="nil"/>
              <w:bottom w:val="single" w:sz="4" w:space="0" w:color="auto"/>
              <w:right w:val="single" w:sz="4" w:space="0" w:color="auto"/>
            </w:tcBorders>
            <w:shd w:val="clear" w:color="auto" w:fill="auto"/>
            <w:noWrap/>
            <w:vAlign w:val="bottom"/>
          </w:tcPr>
          <w:p w:rsidR="00253B32" w:rsidRPr="001959A3"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1,188,876.04</w:t>
            </w:r>
          </w:p>
        </w:tc>
      </w:tr>
    </w:tbl>
    <w:p w:rsidR="00253B32" w:rsidRPr="006064AE" w:rsidRDefault="00253B32" w:rsidP="00253B32">
      <w:pPr>
        <w:spacing w:before="0" w:line="240" w:lineRule="exact"/>
        <w:ind w:firstLine="0"/>
        <w:jc w:val="center"/>
        <w:rPr>
          <w:lang w:val="sr-Cyrl-CS"/>
        </w:rPr>
      </w:pPr>
    </w:p>
    <w:p w:rsidR="00253B32" w:rsidRPr="006064AE" w:rsidRDefault="00253B32" w:rsidP="00253B32">
      <w:pPr>
        <w:spacing w:before="0" w:line="240" w:lineRule="exact"/>
        <w:ind w:firstLine="0"/>
        <w:jc w:val="center"/>
        <w:rPr>
          <w:lang w:val="sr-Cyrl-CS"/>
        </w:rPr>
      </w:pPr>
    </w:p>
    <w:p w:rsidR="00253B32" w:rsidRPr="006064AE" w:rsidRDefault="00253B32" w:rsidP="00253B32">
      <w:pPr>
        <w:spacing w:before="0" w:line="240" w:lineRule="exact"/>
        <w:ind w:firstLine="0"/>
        <w:jc w:val="center"/>
        <w:rPr>
          <w:b/>
          <w:lang w:val="sr-Cyrl-CS"/>
        </w:rPr>
      </w:pPr>
    </w:p>
    <w:p w:rsidR="00253B32" w:rsidRPr="000962FE" w:rsidRDefault="00253B32" w:rsidP="00253B32">
      <w:pPr>
        <w:spacing w:before="0" w:line="240" w:lineRule="exact"/>
        <w:rPr>
          <w:iCs/>
          <w:sz w:val="20"/>
          <w:szCs w:val="20"/>
          <w:lang w:val="sr-Cyrl-CS"/>
        </w:rPr>
      </w:pPr>
      <w:r>
        <w:rPr>
          <w:iCs/>
          <w:sz w:val="20"/>
          <w:szCs w:val="20"/>
          <w:lang w:val="sr-Cyrl-CS"/>
        </w:rPr>
        <w:t xml:space="preserve">   </w:t>
      </w:r>
      <w:r w:rsidRPr="000962FE">
        <w:rPr>
          <w:iCs/>
          <w:sz w:val="20"/>
          <w:szCs w:val="20"/>
          <w:lang w:val="sr-Cyrl-CS"/>
        </w:rPr>
        <w:t xml:space="preserve">СЕКРЕТАР КОМОРЕ                                                            </w:t>
      </w:r>
      <w:r>
        <w:rPr>
          <w:iCs/>
          <w:sz w:val="20"/>
          <w:szCs w:val="20"/>
          <w:lang w:val="sr-Cyrl-CS"/>
        </w:rPr>
        <w:t xml:space="preserve">                                </w:t>
      </w:r>
      <w:r w:rsidRPr="000962FE">
        <w:rPr>
          <w:iCs/>
          <w:sz w:val="20"/>
          <w:szCs w:val="20"/>
          <w:lang w:val="sr-Cyrl-CS"/>
        </w:rPr>
        <w:t xml:space="preserve">ПРЕДСЕДНИК </w:t>
      </w:r>
    </w:p>
    <w:p w:rsidR="00253B32" w:rsidRPr="000962FE" w:rsidRDefault="00253B32" w:rsidP="00253B32">
      <w:pPr>
        <w:spacing w:before="0" w:line="240" w:lineRule="exact"/>
        <w:rPr>
          <w:iCs/>
          <w:sz w:val="20"/>
          <w:szCs w:val="20"/>
          <w:lang w:val="sr-Cyrl-CS"/>
        </w:rPr>
      </w:pPr>
      <w:r w:rsidRPr="000962FE">
        <w:rPr>
          <w:iCs/>
          <w:sz w:val="20"/>
          <w:szCs w:val="20"/>
          <w:lang w:val="sr-Cyrl-CS"/>
        </w:rPr>
        <w:t xml:space="preserve">                                                                                   </w:t>
      </w:r>
      <w:r>
        <w:rPr>
          <w:iCs/>
          <w:sz w:val="20"/>
          <w:szCs w:val="20"/>
          <w:lang w:val="sr-Cyrl-CS"/>
        </w:rPr>
        <w:t xml:space="preserve">                                 </w:t>
      </w:r>
      <w:r w:rsidRPr="000962FE">
        <w:rPr>
          <w:iCs/>
          <w:sz w:val="20"/>
          <w:szCs w:val="20"/>
          <w:lang w:val="sr-Cyrl-CS"/>
        </w:rPr>
        <w:t>УПРАВНОГ ОДБОРА КОМОРЕ</w:t>
      </w:r>
    </w:p>
    <w:p w:rsidR="00253B32" w:rsidRPr="001959A3" w:rsidRDefault="00253B32" w:rsidP="00253B32">
      <w:pPr>
        <w:spacing w:before="0" w:line="240" w:lineRule="exact"/>
        <w:ind w:firstLine="0"/>
        <w:rPr>
          <w:iCs/>
          <w:lang w:val="sr-Cyrl-CS"/>
        </w:rPr>
      </w:pPr>
      <w:r w:rsidRPr="001959A3">
        <w:rPr>
          <w:i/>
          <w:iCs/>
          <w:lang w:val="sr-Cyrl-CS"/>
        </w:rPr>
        <w:t xml:space="preserve">         </w:t>
      </w:r>
      <w:r w:rsidRPr="001959A3">
        <w:rPr>
          <w:iCs/>
          <w:lang w:val="sr-Cyrl-CS"/>
        </w:rPr>
        <w:t>Драган Морача, дипл. прав.</w:t>
      </w:r>
      <w:r w:rsidR="00EF0726">
        <w:rPr>
          <w:iCs/>
          <w:lang w:val="sr-Cyrl-CS"/>
        </w:rPr>
        <w:t>, с.р.</w:t>
      </w:r>
      <w:r w:rsidRPr="001959A3">
        <w:rPr>
          <w:iCs/>
          <w:lang w:val="sr-Cyrl-CS"/>
        </w:rPr>
        <w:t xml:space="preserve">                            </w:t>
      </w:r>
      <w:r w:rsidRPr="001959A3">
        <w:rPr>
          <w:iCs/>
          <w:lang w:val="sr-Latn-CS"/>
        </w:rPr>
        <w:t xml:space="preserve"> </w:t>
      </w:r>
    </w:p>
    <w:p w:rsidR="00EF0726" w:rsidRDefault="00253B32" w:rsidP="00253B32">
      <w:pPr>
        <w:spacing w:before="0" w:line="240" w:lineRule="exact"/>
        <w:ind w:firstLine="0"/>
        <w:rPr>
          <w:iCs/>
          <w:lang w:val="sr-Cyrl-CS"/>
        </w:rPr>
      </w:pPr>
      <w:r w:rsidRPr="006064AE">
        <w:rPr>
          <w:i/>
          <w:iCs/>
          <w:lang w:val="sr-Cyrl-CS"/>
        </w:rPr>
        <w:t xml:space="preserve">                                                       </w:t>
      </w:r>
      <w:r w:rsidR="00EF0726">
        <w:rPr>
          <w:i/>
          <w:iCs/>
          <w:lang w:val="sr-Cyrl-CS"/>
        </w:rPr>
        <w:t xml:space="preserve">                      </w:t>
      </w:r>
      <w:r>
        <w:rPr>
          <w:i/>
          <w:iCs/>
          <w:lang w:val="sr-Cyrl-CS"/>
        </w:rPr>
        <w:t xml:space="preserve"> </w:t>
      </w:r>
      <w:r w:rsidRPr="006064AE">
        <w:rPr>
          <w:i/>
          <w:iCs/>
          <w:lang w:val="sr-Cyrl-CS"/>
        </w:rPr>
        <w:t xml:space="preserve"> </w:t>
      </w:r>
      <w:r>
        <w:rPr>
          <w:iCs/>
          <w:lang w:val="sr-Cyrl-CS"/>
        </w:rPr>
        <w:t xml:space="preserve">    </w:t>
      </w:r>
      <w:r w:rsidRPr="006064AE">
        <w:rPr>
          <w:i/>
          <w:iCs/>
          <w:lang w:val="sr-Latn-CS"/>
        </w:rPr>
        <w:t xml:space="preserve"> </w:t>
      </w:r>
      <w:r w:rsidRPr="00CE343B">
        <w:rPr>
          <w:iCs/>
          <w:lang w:val="sr-Cyrl-CS"/>
        </w:rPr>
        <w:t>Пр</w:t>
      </w:r>
      <w:proofErr w:type="spellStart"/>
      <w:r w:rsidRPr="00CE343B">
        <w:rPr>
          <w:iCs/>
        </w:rPr>
        <w:t>oф</w:t>
      </w:r>
      <w:proofErr w:type="spellEnd"/>
      <w:r>
        <w:rPr>
          <w:iCs/>
          <w:lang w:val="sr-Cyrl-CS"/>
        </w:rPr>
        <w:t>. др</w:t>
      </w:r>
      <w:r w:rsidRPr="006064AE">
        <w:rPr>
          <w:iCs/>
          <w:lang w:val="sr-Cyrl-CS"/>
        </w:rPr>
        <w:t xml:space="preserve"> </w:t>
      </w:r>
      <w:r>
        <w:rPr>
          <w:iCs/>
          <w:lang w:val="sr-Cyrl-CS"/>
        </w:rPr>
        <w:t>Георгиос Константинидис</w:t>
      </w:r>
      <w:r w:rsidR="00EF0726">
        <w:rPr>
          <w:iCs/>
          <w:lang w:val="sr-Cyrl-CS"/>
        </w:rPr>
        <w:t>, с.р.</w:t>
      </w:r>
    </w:p>
    <w:p w:rsidR="00253B32" w:rsidRDefault="00253B32" w:rsidP="00253B32">
      <w:pPr>
        <w:spacing w:before="0" w:line="240" w:lineRule="exact"/>
        <w:ind w:firstLine="0"/>
        <w:rPr>
          <w:iCs/>
          <w:lang w:val="sr-Cyrl-CS"/>
        </w:rPr>
      </w:pPr>
      <w:r w:rsidRPr="006064AE">
        <w:rPr>
          <w:iCs/>
          <w:lang w:val="sr-Cyrl-CS"/>
        </w:rPr>
        <w:t xml:space="preserve">                             </w:t>
      </w:r>
    </w:p>
    <w:p w:rsidR="00253B32" w:rsidRDefault="00253B32" w:rsidP="00253B32">
      <w:pPr>
        <w:spacing w:before="0" w:line="240" w:lineRule="exact"/>
        <w:ind w:firstLine="0"/>
        <w:jc w:val="center"/>
        <w:rPr>
          <w:b/>
          <w:iCs/>
        </w:rPr>
      </w:pPr>
    </w:p>
    <w:p w:rsidR="00253B32" w:rsidRPr="000962FE" w:rsidRDefault="00253B32" w:rsidP="00253B32">
      <w:pPr>
        <w:spacing w:before="0" w:line="240" w:lineRule="exact"/>
        <w:ind w:firstLine="0"/>
        <w:jc w:val="center"/>
        <w:rPr>
          <w:iCs/>
          <w:sz w:val="20"/>
          <w:szCs w:val="20"/>
          <w:lang w:val="sr-Cyrl-CS"/>
        </w:rPr>
      </w:pPr>
      <w:r w:rsidRPr="000962FE">
        <w:rPr>
          <w:iCs/>
          <w:sz w:val="20"/>
          <w:szCs w:val="20"/>
          <w:lang w:val="sr-Cyrl-CS"/>
        </w:rPr>
        <w:lastRenderedPageBreak/>
        <w:t>О Б Р А З Л О Ж Е Њ Е</w:t>
      </w:r>
    </w:p>
    <w:p w:rsidR="00253B32" w:rsidRDefault="00253B32" w:rsidP="00253B32">
      <w:pPr>
        <w:spacing w:before="0" w:line="240" w:lineRule="exact"/>
        <w:rPr>
          <w:b/>
          <w:u w:val="single"/>
          <w:lang w:val="sr-Cyrl-CS"/>
        </w:rPr>
      </w:pPr>
    </w:p>
    <w:p w:rsidR="00253B32" w:rsidRPr="00A81013" w:rsidRDefault="00253B32" w:rsidP="00253B32">
      <w:pPr>
        <w:spacing w:before="0" w:line="240" w:lineRule="exact"/>
        <w:rPr>
          <w:b/>
          <w:u w:val="single"/>
          <w:lang w:val="sr-Cyrl-CS"/>
        </w:rPr>
      </w:pPr>
    </w:p>
    <w:p w:rsidR="00253B32" w:rsidRPr="003F78B6" w:rsidRDefault="00253B32" w:rsidP="00253B32">
      <w:pPr>
        <w:spacing w:before="0" w:line="240" w:lineRule="exact"/>
        <w:rPr>
          <w:u w:val="single"/>
          <w:lang w:val="sr-Cyrl-CS"/>
        </w:rPr>
      </w:pPr>
      <w:r w:rsidRPr="003F78B6">
        <w:rPr>
          <w:u w:val="single"/>
          <w:lang w:val="sr-Cyrl-CS"/>
        </w:rPr>
        <w:t>П р и х о д и:</w:t>
      </w:r>
    </w:p>
    <w:p w:rsidR="00253B32" w:rsidRDefault="00253B32" w:rsidP="00253B32">
      <w:pPr>
        <w:spacing w:before="0" w:line="240" w:lineRule="exact"/>
        <w:rPr>
          <w:lang w:val="sr-Cyrl-CS"/>
        </w:rPr>
      </w:pPr>
    </w:p>
    <w:p w:rsidR="00253B32" w:rsidRDefault="00253B32" w:rsidP="00253B32">
      <w:pPr>
        <w:spacing w:before="0" w:line="240" w:lineRule="exact"/>
        <w:rPr>
          <w:lang w:val="sr-Cyrl-CS"/>
        </w:rPr>
      </w:pPr>
    </w:p>
    <w:p w:rsidR="00253B32" w:rsidRDefault="00253B32" w:rsidP="00253B32">
      <w:pPr>
        <w:spacing w:before="0" w:line="240" w:lineRule="exact"/>
        <w:rPr>
          <w:lang w:val="sr-Cyrl-CS"/>
        </w:rPr>
      </w:pPr>
      <w:r w:rsidRPr="006064AE">
        <w:rPr>
          <w:lang w:val="sr-Cyrl-CS"/>
        </w:rPr>
        <w:t>Комора је у периоду јануар - децембар 201</w:t>
      </w:r>
      <w:r>
        <w:rPr>
          <w:lang w:val="sr-Cyrl-CS"/>
        </w:rPr>
        <w:t>4</w:t>
      </w:r>
      <w:r w:rsidRPr="006064AE">
        <w:rPr>
          <w:lang w:val="sr-Cyrl-CS"/>
        </w:rPr>
        <w:t xml:space="preserve">. године остварила  </w:t>
      </w:r>
      <w:r w:rsidRPr="003F78B6">
        <w:rPr>
          <w:i/>
          <w:lang w:val="sr-Cyrl-CS"/>
        </w:rPr>
        <w:t xml:space="preserve">укупне </w:t>
      </w:r>
      <w:r w:rsidRPr="003F78B6">
        <w:rPr>
          <w:bCs/>
          <w:i/>
          <w:iCs/>
          <w:lang w:val="sr-Cyrl-CS"/>
        </w:rPr>
        <w:t xml:space="preserve">приходе у износу  </w:t>
      </w:r>
      <w:r>
        <w:rPr>
          <w:bCs/>
          <w:i/>
          <w:iCs/>
          <w:lang w:val="sr-Cyrl-CS"/>
        </w:rPr>
        <w:t>40</w:t>
      </w:r>
      <w:r w:rsidRPr="003F78B6">
        <w:rPr>
          <w:bCs/>
          <w:i/>
          <w:iCs/>
          <w:lang w:val="sr-Cyrl-CS"/>
        </w:rPr>
        <w:t>.</w:t>
      </w:r>
      <w:r>
        <w:rPr>
          <w:bCs/>
          <w:i/>
          <w:iCs/>
          <w:lang w:val="sr-Cyrl-CS"/>
        </w:rPr>
        <w:t>127</w:t>
      </w:r>
      <w:r w:rsidRPr="003F78B6">
        <w:rPr>
          <w:bCs/>
          <w:i/>
          <w:iCs/>
          <w:lang w:val="sr-Cyrl-CS"/>
        </w:rPr>
        <w:t>.</w:t>
      </w:r>
      <w:r>
        <w:rPr>
          <w:bCs/>
          <w:i/>
          <w:iCs/>
          <w:lang w:val="sr-Cyrl-CS"/>
        </w:rPr>
        <w:t>589</w:t>
      </w:r>
      <w:r w:rsidRPr="003F78B6">
        <w:rPr>
          <w:bCs/>
          <w:i/>
          <w:iCs/>
          <w:lang w:val="sr-Cyrl-CS"/>
        </w:rPr>
        <w:t xml:space="preserve"> динара</w:t>
      </w:r>
      <w:r>
        <w:rPr>
          <w:bCs/>
          <w:i/>
          <w:iCs/>
          <w:lang w:val="sr-Cyrl-CS"/>
        </w:rPr>
        <w:t xml:space="preserve"> или</w:t>
      </w:r>
      <w:r>
        <w:rPr>
          <w:lang w:val="sr-Cyrl-CS"/>
        </w:rPr>
        <w:t xml:space="preserve"> 4,04 % мање од</w:t>
      </w:r>
      <w:r w:rsidRPr="006064AE">
        <w:rPr>
          <w:lang w:val="sr-Cyrl-CS"/>
        </w:rPr>
        <w:t xml:space="preserve"> планиран</w:t>
      </w:r>
      <w:r>
        <w:rPr>
          <w:lang w:val="sr-Cyrl-CS"/>
        </w:rPr>
        <w:t>их за исти период.</w:t>
      </w:r>
      <w:r w:rsidRPr="006064AE">
        <w:rPr>
          <w:lang w:val="sr-Cyrl-CS"/>
        </w:rPr>
        <w:t xml:space="preserve">  </w:t>
      </w:r>
    </w:p>
    <w:p w:rsidR="00253B32" w:rsidRPr="006064AE" w:rsidRDefault="00253B32" w:rsidP="00253B32">
      <w:pPr>
        <w:spacing w:before="0" w:line="240" w:lineRule="exact"/>
        <w:rPr>
          <w:lang w:val="sr-Cyrl-CS"/>
        </w:rPr>
      </w:pPr>
      <w:r>
        <w:rPr>
          <w:lang w:val="sr-Cyrl-CS"/>
        </w:rPr>
        <w:t>Приходи</w:t>
      </w:r>
      <w:r w:rsidRPr="006064AE">
        <w:rPr>
          <w:lang w:val="sr-Cyrl-CS"/>
        </w:rPr>
        <w:t xml:space="preserve"> по основу чланског доприноса  </w:t>
      </w:r>
      <w:r>
        <w:rPr>
          <w:lang w:val="sr-Cyrl-CS"/>
        </w:rPr>
        <w:t>изно</w:t>
      </w:r>
      <w:r w:rsidRPr="006064AE">
        <w:rPr>
          <w:lang w:val="sr-Cyrl-CS"/>
        </w:rPr>
        <w:t xml:space="preserve">се </w:t>
      </w:r>
      <w:r>
        <w:rPr>
          <w:lang w:val="sr-Cyrl-CS"/>
        </w:rPr>
        <w:t>39</w:t>
      </w:r>
      <w:r w:rsidRPr="006064AE">
        <w:rPr>
          <w:lang w:val="sr-Cyrl-CS"/>
        </w:rPr>
        <w:t>.</w:t>
      </w:r>
      <w:r>
        <w:rPr>
          <w:lang w:val="sr-Cyrl-CS"/>
        </w:rPr>
        <w:t>255</w:t>
      </w:r>
      <w:r w:rsidRPr="006064AE">
        <w:rPr>
          <w:lang w:val="sr-Cyrl-CS"/>
        </w:rPr>
        <w:t>.</w:t>
      </w:r>
      <w:r>
        <w:rPr>
          <w:lang w:val="sr-Cyrl-CS"/>
        </w:rPr>
        <w:t xml:space="preserve">895 динара. У односу на планиране мањи су за 4,53%, а у укупним приходима учествују са  97,75%. Остали </w:t>
      </w:r>
      <w:r w:rsidRPr="006064AE">
        <w:rPr>
          <w:lang w:val="sr-Cyrl-CS"/>
        </w:rPr>
        <w:t>приход</w:t>
      </w:r>
      <w:r>
        <w:rPr>
          <w:lang w:val="sr-Cyrl-CS"/>
        </w:rPr>
        <w:t>и износе</w:t>
      </w:r>
      <w:r w:rsidRPr="006064AE">
        <w:rPr>
          <w:lang w:val="sr-Cyrl-CS"/>
        </w:rPr>
        <w:t xml:space="preserve"> </w:t>
      </w:r>
      <w:r>
        <w:rPr>
          <w:lang w:val="sr-Cyrl-CS"/>
        </w:rPr>
        <w:t>871</w:t>
      </w:r>
      <w:r w:rsidRPr="006064AE">
        <w:rPr>
          <w:lang w:val="sr-Cyrl-CS"/>
        </w:rPr>
        <w:t>.</w:t>
      </w:r>
      <w:r>
        <w:rPr>
          <w:lang w:val="sr-Cyrl-CS"/>
        </w:rPr>
        <w:t>694 динара или 2,25% укупних прихода. У односу на планиране за исти период већи су за 9,24%</w:t>
      </w:r>
      <w:r w:rsidRPr="006064AE">
        <w:rPr>
          <w:lang w:val="sr-Cyrl-CS"/>
        </w:rPr>
        <w:t>.</w:t>
      </w:r>
    </w:p>
    <w:p w:rsidR="00253B32" w:rsidRDefault="00253B32" w:rsidP="00253B32">
      <w:pPr>
        <w:spacing w:before="0" w:line="240" w:lineRule="exact"/>
        <w:rPr>
          <w:lang w:val="sr-Cyrl-CS"/>
        </w:rPr>
      </w:pPr>
    </w:p>
    <w:p w:rsidR="00253B32" w:rsidRPr="006064AE" w:rsidRDefault="00253B32" w:rsidP="00253B32">
      <w:pPr>
        <w:spacing w:before="0" w:line="240" w:lineRule="exact"/>
        <w:rPr>
          <w:lang w:val="sr-Cyrl-CS"/>
        </w:rPr>
      </w:pPr>
    </w:p>
    <w:p w:rsidR="00253B32" w:rsidRPr="001F73C8" w:rsidRDefault="00253B32" w:rsidP="00253B32">
      <w:pPr>
        <w:spacing w:before="0" w:line="240" w:lineRule="exact"/>
        <w:rPr>
          <w:u w:val="single"/>
          <w:lang w:val="sr-Cyrl-CS"/>
        </w:rPr>
      </w:pPr>
      <w:r w:rsidRPr="001F73C8">
        <w:rPr>
          <w:u w:val="single"/>
          <w:lang w:val="sr-Cyrl-CS"/>
        </w:rPr>
        <w:t>Р а с х о д и:</w:t>
      </w:r>
    </w:p>
    <w:p w:rsidR="00253B32" w:rsidRPr="003F78B6" w:rsidRDefault="00253B32" w:rsidP="00253B32">
      <w:pPr>
        <w:spacing w:before="0" w:line="240" w:lineRule="exact"/>
        <w:rPr>
          <w:bCs/>
          <w:i/>
          <w:iCs/>
          <w:lang w:val="sr-Cyrl-CS"/>
        </w:rPr>
      </w:pPr>
    </w:p>
    <w:p w:rsidR="00253B32" w:rsidRDefault="00253B32" w:rsidP="00253B32">
      <w:pPr>
        <w:spacing w:before="0" w:line="240" w:lineRule="exact"/>
        <w:rPr>
          <w:bCs/>
          <w:i/>
          <w:iCs/>
          <w:lang w:val="sr-Cyrl-CS"/>
        </w:rPr>
      </w:pPr>
    </w:p>
    <w:p w:rsidR="00253B32" w:rsidRPr="00D66FBF" w:rsidRDefault="00253B32" w:rsidP="00253B32">
      <w:pPr>
        <w:spacing w:before="0" w:line="240" w:lineRule="exact"/>
        <w:rPr>
          <w:lang w:val="sr-Cyrl-CS"/>
        </w:rPr>
      </w:pPr>
      <w:r w:rsidRPr="003F78B6">
        <w:rPr>
          <w:bCs/>
          <w:i/>
          <w:iCs/>
          <w:lang w:val="sr-Cyrl-CS"/>
        </w:rPr>
        <w:t>Укупни расходи у периоду јануар - децембар 201</w:t>
      </w:r>
      <w:r>
        <w:rPr>
          <w:bCs/>
          <w:i/>
          <w:iCs/>
          <w:lang w:val="sr-Cyrl-CS"/>
        </w:rPr>
        <w:t>4</w:t>
      </w:r>
      <w:r w:rsidRPr="003F78B6">
        <w:rPr>
          <w:bCs/>
          <w:i/>
          <w:iCs/>
          <w:lang w:val="sr-Cyrl-CS"/>
        </w:rPr>
        <w:t>. године износе  3</w:t>
      </w:r>
      <w:r>
        <w:rPr>
          <w:bCs/>
          <w:i/>
          <w:iCs/>
          <w:lang w:val="sr-Cyrl-CS"/>
        </w:rPr>
        <w:t>8</w:t>
      </w:r>
      <w:r w:rsidRPr="003F78B6">
        <w:rPr>
          <w:bCs/>
          <w:i/>
          <w:iCs/>
          <w:lang w:val="sr-Cyrl-CS"/>
        </w:rPr>
        <w:t>.</w:t>
      </w:r>
      <w:r>
        <w:rPr>
          <w:bCs/>
          <w:i/>
          <w:iCs/>
          <w:lang w:val="sr-Cyrl-CS"/>
        </w:rPr>
        <w:t>938</w:t>
      </w:r>
      <w:r w:rsidRPr="003F78B6">
        <w:rPr>
          <w:bCs/>
          <w:i/>
          <w:iCs/>
          <w:lang w:val="sr-Cyrl-CS"/>
        </w:rPr>
        <w:t>.</w:t>
      </w:r>
      <w:r>
        <w:rPr>
          <w:bCs/>
          <w:i/>
          <w:iCs/>
          <w:lang w:val="sr-Cyrl-CS"/>
        </w:rPr>
        <w:t>713</w:t>
      </w:r>
      <w:r w:rsidRPr="003F78B6">
        <w:rPr>
          <w:bCs/>
          <w:i/>
          <w:iCs/>
          <w:lang w:val="sr-Cyrl-CS"/>
        </w:rPr>
        <w:t xml:space="preserve"> динара.</w:t>
      </w:r>
      <w:r w:rsidRPr="006064AE">
        <w:rPr>
          <w:lang w:val="sr-Cyrl-CS"/>
        </w:rPr>
        <w:t xml:space="preserve"> У односу на планиране расходи су </w:t>
      </w:r>
      <w:r w:rsidRPr="003F78B6">
        <w:rPr>
          <w:i/>
          <w:lang w:val="sr-Cyrl-CS"/>
        </w:rPr>
        <w:t xml:space="preserve">мањи за </w:t>
      </w:r>
      <w:r>
        <w:rPr>
          <w:i/>
          <w:lang w:val="sr-Cyrl-CS"/>
        </w:rPr>
        <w:t>6,88</w:t>
      </w:r>
      <w:r w:rsidRPr="003F78B6">
        <w:rPr>
          <w:i/>
          <w:lang w:val="sr-Cyrl-CS"/>
        </w:rPr>
        <w:t>%.</w:t>
      </w:r>
    </w:p>
    <w:p w:rsidR="00253B32" w:rsidRDefault="00253B32" w:rsidP="00253B32">
      <w:pPr>
        <w:spacing w:before="0" w:line="240" w:lineRule="exact"/>
        <w:rPr>
          <w:u w:val="single"/>
          <w:lang w:val="sr-Cyrl-CS"/>
        </w:rPr>
      </w:pPr>
    </w:p>
    <w:p w:rsidR="00253B32" w:rsidRPr="00A81013" w:rsidRDefault="00253B32" w:rsidP="00253B32">
      <w:pPr>
        <w:spacing w:before="0" w:line="240" w:lineRule="exact"/>
        <w:rPr>
          <w:lang w:val="sr-Cyrl-CS"/>
        </w:rPr>
      </w:pPr>
      <w:r>
        <w:rPr>
          <w:u w:val="single"/>
          <w:lang w:val="sr-Cyrl-CS"/>
        </w:rPr>
        <w:t>Трошкови материјала и ситног инвентара</w:t>
      </w:r>
      <w:r w:rsidRPr="006F3449">
        <w:rPr>
          <w:lang w:val="sr-Cyrl-CS"/>
        </w:rPr>
        <w:t xml:space="preserve"> </w:t>
      </w:r>
      <w:r>
        <w:rPr>
          <w:lang w:val="sr-Cyrl-CS"/>
        </w:rPr>
        <w:t>износе 193.529 динара, што је 38,71%  планираних.</w:t>
      </w:r>
      <w:r>
        <w:t xml:space="preserve"> </w:t>
      </w:r>
      <w:r>
        <w:rPr>
          <w:lang w:val="sr-Cyrl-CS"/>
        </w:rPr>
        <w:t>Ови трошкови укључују канцеларијски материјал, средства за одржавање хигијене, ситан инвентар који се у целости отписује на терет трошкова и др.</w:t>
      </w:r>
      <w:r>
        <w:rPr>
          <w:lang/>
        </w:rPr>
        <w:t>.</w:t>
      </w:r>
    </w:p>
    <w:p w:rsidR="00253B32" w:rsidRPr="00A81013" w:rsidRDefault="00253B32" w:rsidP="00253B32">
      <w:pPr>
        <w:spacing w:before="0" w:line="240" w:lineRule="exact"/>
        <w:rPr>
          <w:lang w:val="sr-Cyrl-CS"/>
        </w:rPr>
      </w:pPr>
      <w:r>
        <w:rPr>
          <w:u w:val="single"/>
          <w:lang w:val="sr-Cyrl-CS"/>
        </w:rPr>
        <w:t xml:space="preserve">Трошкови горива и енергије </w:t>
      </w:r>
      <w:r>
        <w:rPr>
          <w:lang w:val="sr-Cyrl-CS"/>
        </w:rPr>
        <w:t>износе 1.351.069 динара или 84,44% планираних. У структури ових трошкова највеће је учешће трошкова даљинског грејања.</w:t>
      </w:r>
      <w:r>
        <w:rPr>
          <w:lang/>
        </w:rPr>
        <w:t xml:space="preserve"> </w:t>
      </w:r>
      <w:r>
        <w:rPr>
          <w:lang w:val="sr-Cyrl-CS"/>
        </w:rPr>
        <w:t>О</w:t>
      </w:r>
      <w:r>
        <w:rPr>
          <w:lang/>
        </w:rPr>
        <w:t>вим трошковима обухваћени су и трошкови електричне енергије и горива</w:t>
      </w:r>
      <w:r>
        <w:rPr>
          <w:lang w:val="sr-Cyrl-CS"/>
        </w:rPr>
        <w:t>.</w:t>
      </w:r>
    </w:p>
    <w:p w:rsidR="00253B32" w:rsidRPr="00A81013" w:rsidRDefault="00253B32" w:rsidP="00253B32">
      <w:pPr>
        <w:spacing w:before="0" w:line="240" w:lineRule="exact"/>
        <w:rPr>
          <w:lang w:val="sr-Cyrl-CS"/>
        </w:rPr>
      </w:pPr>
      <w:r>
        <w:rPr>
          <w:u w:val="single"/>
          <w:lang w:val="sr-Cyrl-CS"/>
        </w:rPr>
        <w:t>Бруто з</w:t>
      </w:r>
      <w:r w:rsidRPr="006064AE">
        <w:rPr>
          <w:u w:val="single"/>
          <w:lang w:val="sr-Cyrl-CS"/>
        </w:rPr>
        <w:t>араде</w:t>
      </w:r>
      <w:r w:rsidRPr="006064AE">
        <w:rPr>
          <w:lang w:val="sr-Cyrl-CS"/>
        </w:rPr>
        <w:t xml:space="preserve"> запослених износе 1</w:t>
      </w:r>
      <w:r>
        <w:rPr>
          <w:lang w:val="sr-Cyrl-CS"/>
        </w:rPr>
        <w:t>9</w:t>
      </w:r>
      <w:r w:rsidRPr="006064AE">
        <w:rPr>
          <w:lang w:val="sr-Cyrl-CS"/>
        </w:rPr>
        <w:t>.</w:t>
      </w:r>
      <w:r>
        <w:rPr>
          <w:lang w:val="sr-Cyrl-CS"/>
        </w:rPr>
        <w:t>983.094</w:t>
      </w:r>
      <w:r w:rsidRPr="006064AE">
        <w:rPr>
          <w:lang w:val="sr-Cyrl-CS"/>
        </w:rPr>
        <w:t xml:space="preserve"> динара </w:t>
      </w:r>
      <w:r>
        <w:rPr>
          <w:lang w:val="sr-Cyrl-CS"/>
        </w:rPr>
        <w:t xml:space="preserve">и исте су за 0,46% мање од </w:t>
      </w:r>
      <w:r w:rsidRPr="006064AE">
        <w:rPr>
          <w:lang w:val="sr-Cyrl-CS"/>
        </w:rPr>
        <w:t>план</w:t>
      </w:r>
      <w:r>
        <w:rPr>
          <w:lang w:val="sr-Cyrl-CS"/>
        </w:rPr>
        <w:t xml:space="preserve">ираних (индекс 99,54). </w:t>
      </w:r>
    </w:p>
    <w:p w:rsidR="00253B32" w:rsidRPr="00A81013" w:rsidRDefault="00253B32" w:rsidP="00253B32">
      <w:pPr>
        <w:spacing w:before="0" w:line="240" w:lineRule="exact"/>
        <w:rPr>
          <w:lang w:val="sr-Cyrl-CS"/>
        </w:rPr>
      </w:pPr>
      <w:r>
        <w:rPr>
          <w:u w:val="single"/>
          <w:lang w:val="sr-Cyrl-CS"/>
        </w:rPr>
        <w:t xml:space="preserve">Доприноси на терет послодавца </w:t>
      </w:r>
      <w:r>
        <w:rPr>
          <w:lang w:val="sr-Cyrl-CS"/>
        </w:rPr>
        <w:t xml:space="preserve">извршени су  99,27% од планираних и износили су 3.545.136 динара. </w:t>
      </w:r>
    </w:p>
    <w:p w:rsidR="00253B32" w:rsidRDefault="00253B32" w:rsidP="00253B32">
      <w:pPr>
        <w:spacing w:before="0" w:line="240" w:lineRule="exact"/>
        <w:rPr>
          <w:lang w:val="sr-Cyrl-CS"/>
        </w:rPr>
      </w:pPr>
      <w:r>
        <w:rPr>
          <w:u w:val="single"/>
          <w:lang w:val="sr-Cyrl-CS"/>
        </w:rPr>
        <w:t xml:space="preserve">Накнаде по ауторским уговорима </w:t>
      </w:r>
      <w:r>
        <w:rPr>
          <w:lang w:val="sr-Cyrl-CS"/>
        </w:rPr>
        <w:t>износе 852.041 динара или 94,67%  планираних. Ови</w:t>
      </w:r>
      <w:r w:rsidRPr="006064AE">
        <w:rPr>
          <w:lang w:val="sr-Cyrl-CS"/>
        </w:rPr>
        <w:t xml:space="preserve"> </w:t>
      </w:r>
      <w:r>
        <w:rPr>
          <w:lang w:val="sr-Cyrl-CS"/>
        </w:rPr>
        <w:t xml:space="preserve">трошкови обухватају накнаду главном и одговорном уреднику часописа „Здравствена заштита“, као и накнаде предавачима  на стручним скуповима (саветовањима) који нису запослени у Комори. </w:t>
      </w:r>
    </w:p>
    <w:p w:rsidR="00253B32" w:rsidRDefault="00253B32" w:rsidP="00253B32">
      <w:pPr>
        <w:spacing w:before="0" w:line="240" w:lineRule="exact"/>
        <w:rPr>
          <w:lang w:val="sr-Cyrl-CS"/>
        </w:rPr>
      </w:pPr>
      <w:r w:rsidRPr="00D4117B">
        <w:rPr>
          <w:u w:val="single"/>
          <w:lang w:val="sr-Cyrl-CS"/>
        </w:rPr>
        <w:t>Трошкови накнаде председнику УО</w:t>
      </w:r>
      <w:r>
        <w:rPr>
          <w:color w:val="FF0000"/>
          <w:lang w:val="sr-Cyrl-CS"/>
        </w:rPr>
        <w:t xml:space="preserve"> </w:t>
      </w:r>
      <w:r w:rsidRPr="002A3C0A">
        <w:rPr>
          <w:lang w:val="sr-Cyrl-CS"/>
        </w:rPr>
        <w:t xml:space="preserve"> </w:t>
      </w:r>
      <w:r w:rsidRPr="0058137E">
        <w:rPr>
          <w:lang w:val="sr-Cyrl-CS"/>
        </w:rPr>
        <w:t xml:space="preserve">износе </w:t>
      </w:r>
      <w:r>
        <w:t>657</w:t>
      </w:r>
      <w:r w:rsidRPr="0058137E">
        <w:rPr>
          <w:lang w:val="sr-Cyrl-CS"/>
        </w:rPr>
        <w:t>.</w:t>
      </w:r>
      <w:r>
        <w:t>018</w:t>
      </w:r>
      <w:r w:rsidRPr="0058137E">
        <w:rPr>
          <w:lang w:val="sr-Cyrl-CS"/>
        </w:rPr>
        <w:t xml:space="preserve"> динара </w:t>
      </w:r>
      <w:r>
        <w:rPr>
          <w:lang w:val="sr-Cyrl-CS"/>
        </w:rPr>
        <w:t xml:space="preserve">и исти су већи од планираних за </w:t>
      </w:r>
      <w:r>
        <w:t>49</w:t>
      </w:r>
      <w:r>
        <w:rPr>
          <w:lang w:val="sr-Cyrl-CS"/>
        </w:rPr>
        <w:t>,</w:t>
      </w:r>
      <w:r>
        <w:t>32</w:t>
      </w:r>
      <w:r>
        <w:rPr>
          <w:lang w:val="sr-Cyrl-CS"/>
        </w:rPr>
        <w:t>%. До прекорачења ових трошкова у односу на планиране дошло је зато што су ови трошкови планирани у фиксном износу у висини од 50% просечне бруто зараде по запосленом у Републици Србији за месец децембар 2013.године, а УО је на седници одржаној 20.02.2014.године донео Одлуку бр.86-5а/14 да се председнику УО Коморе утврђује месечна нето накнада за рад у фиксном износу у висини од 50% просечне бруто зараде по запосленом у Републици Србији за месец децембар 2013.године.</w:t>
      </w:r>
    </w:p>
    <w:p w:rsidR="00253B32" w:rsidRPr="00A81013" w:rsidRDefault="00253B32" w:rsidP="00253B32">
      <w:pPr>
        <w:spacing w:before="0" w:line="240" w:lineRule="exact"/>
        <w:rPr>
          <w:lang w:val="sr-Cyrl-CS"/>
        </w:rPr>
      </w:pPr>
      <w:r>
        <w:rPr>
          <w:u w:val="single"/>
          <w:lang w:val="sr-Cyrl-CS"/>
        </w:rPr>
        <w:t>Трошкови накнаде заменику председника УО Коморе</w:t>
      </w:r>
      <w:r>
        <w:rPr>
          <w:lang w:val="sr-Cyrl-CS"/>
        </w:rPr>
        <w:t xml:space="preserve"> износе 347.934 динара. У односу на планиране већи су за 33,82%. До прекорачења планираног износа  дошло је из истих разлога као и код трошкова накнаде за председника УО. </w:t>
      </w:r>
    </w:p>
    <w:p w:rsidR="00253B32" w:rsidRPr="00A81013" w:rsidRDefault="00253B32" w:rsidP="00253B32">
      <w:pPr>
        <w:spacing w:before="0" w:line="240" w:lineRule="exact"/>
        <w:rPr>
          <w:lang w:val="sr-Cyrl-CS"/>
        </w:rPr>
      </w:pPr>
      <w:r w:rsidRPr="006064AE">
        <w:rPr>
          <w:u w:val="single"/>
          <w:lang w:val="sr-Cyrl-CS"/>
        </w:rPr>
        <w:t>Остали лични расходи</w:t>
      </w:r>
      <w:r w:rsidRPr="006064AE">
        <w:rPr>
          <w:lang w:val="sr-Cyrl-CS"/>
        </w:rPr>
        <w:t xml:space="preserve"> износе </w:t>
      </w:r>
      <w:r>
        <w:rPr>
          <w:lang w:val="sr-Cyrl-CS"/>
        </w:rPr>
        <w:t>1.640.502</w:t>
      </w:r>
      <w:r w:rsidRPr="006064AE">
        <w:rPr>
          <w:lang w:val="sr-Cyrl-CS"/>
        </w:rPr>
        <w:t xml:space="preserve"> динара </w:t>
      </w:r>
      <w:r>
        <w:rPr>
          <w:lang w:val="sr-Cyrl-CS"/>
        </w:rPr>
        <w:t>што је 5</w:t>
      </w:r>
      <w:r>
        <w:t>4</w:t>
      </w:r>
      <w:r>
        <w:rPr>
          <w:lang w:val="sr-Cyrl-CS"/>
        </w:rPr>
        <w:t>,68</w:t>
      </w:r>
      <w:r w:rsidRPr="006064AE">
        <w:rPr>
          <w:lang w:val="sr-Cyrl-CS"/>
        </w:rPr>
        <w:t>%</w:t>
      </w:r>
      <w:r>
        <w:rPr>
          <w:lang w:val="sr-Cyrl-CS"/>
        </w:rPr>
        <w:t xml:space="preserve"> </w:t>
      </w:r>
      <w:r w:rsidRPr="006064AE">
        <w:rPr>
          <w:lang w:val="sr-Cyrl-CS"/>
        </w:rPr>
        <w:t>план</w:t>
      </w:r>
      <w:r>
        <w:rPr>
          <w:lang w:val="sr-Cyrl-CS"/>
        </w:rPr>
        <w:t>ираних. Ови трошкови односе се на накнаду за превоз запослених за долазак и одлазак са посла, накнаду трошкова смештаја и исхране на службеном путу, накнаду трошкова превоза на службеном путу и остале накнаде трошкова запосленима и другим физичким лицима.</w:t>
      </w:r>
    </w:p>
    <w:p w:rsidR="00253B32" w:rsidRDefault="00253B32" w:rsidP="00253B32">
      <w:pPr>
        <w:spacing w:before="0" w:line="240" w:lineRule="exact"/>
        <w:rPr>
          <w:u w:val="single"/>
          <w:lang w:val="sr-Cyrl-CS"/>
        </w:rPr>
      </w:pPr>
    </w:p>
    <w:p w:rsidR="00253B32" w:rsidRPr="00A81013" w:rsidRDefault="00253B32" w:rsidP="00253B32">
      <w:pPr>
        <w:spacing w:before="0" w:line="240" w:lineRule="exact"/>
        <w:rPr>
          <w:lang w:val="sr-Cyrl-CS"/>
        </w:rPr>
      </w:pPr>
      <w:r>
        <w:rPr>
          <w:u w:val="single"/>
          <w:lang w:val="sr-Cyrl-CS"/>
        </w:rPr>
        <w:t>Трошкови транспортних и ПТТ услуга</w:t>
      </w:r>
      <w:r>
        <w:rPr>
          <w:lang w:val="sr-Cyrl-CS"/>
        </w:rPr>
        <w:t xml:space="preserve"> износе </w:t>
      </w:r>
      <w:r>
        <w:t>704</w:t>
      </w:r>
      <w:r>
        <w:rPr>
          <w:lang w:val="sr-Cyrl-CS"/>
        </w:rPr>
        <w:t>.3</w:t>
      </w:r>
      <w:r>
        <w:t>33</w:t>
      </w:r>
      <w:r>
        <w:rPr>
          <w:lang w:val="sr-Cyrl-CS"/>
        </w:rPr>
        <w:t xml:space="preserve"> динара и приближно су једнаки планираним трошковима (индекс 100,62) за ову позицију. Ови трошкови обухватају транспортне услуге других правних лица, трошкове ПТТ услуга-поштарину за слање часописа , билтена, материјала за сазивање седница органа управљања и других </w:t>
      </w:r>
      <w:r>
        <w:rPr>
          <w:lang w:val="sr-Cyrl-CS"/>
        </w:rPr>
        <w:lastRenderedPageBreak/>
        <w:t>састанака који се организују у Комори. Такође, у ове трошкове укључени су трошкови телефонских услуга, такси и рент а кар услуга и др.</w:t>
      </w:r>
    </w:p>
    <w:p w:rsidR="00253B32" w:rsidRPr="001B4848" w:rsidRDefault="00253B32" w:rsidP="00253B32">
      <w:pPr>
        <w:spacing w:before="0" w:line="240" w:lineRule="exact"/>
        <w:rPr>
          <w:lang w:val="sr-Cyrl-CS"/>
        </w:rPr>
      </w:pPr>
      <w:r>
        <w:rPr>
          <w:u w:val="single"/>
          <w:lang w:val="sr-Cyrl-CS"/>
        </w:rPr>
        <w:t xml:space="preserve">Трошкови услуга одржавања </w:t>
      </w:r>
      <w:r w:rsidRPr="001B4848">
        <w:rPr>
          <w:lang w:val="sr-Cyrl-CS"/>
        </w:rPr>
        <w:t xml:space="preserve">су </w:t>
      </w:r>
      <w:r>
        <w:rPr>
          <w:lang w:val="sr-Cyrl-CS"/>
        </w:rPr>
        <w:t>1.517</w:t>
      </w:r>
      <w:r w:rsidRPr="001B4848">
        <w:rPr>
          <w:lang w:val="sr-Cyrl-CS"/>
        </w:rPr>
        <w:t>.</w:t>
      </w:r>
      <w:r>
        <w:rPr>
          <w:lang w:val="sr-Cyrl-CS"/>
        </w:rPr>
        <w:t>339</w:t>
      </w:r>
      <w:r w:rsidRPr="001B4848">
        <w:rPr>
          <w:lang w:val="sr-Cyrl-CS"/>
        </w:rPr>
        <w:t xml:space="preserve"> динар</w:t>
      </w:r>
      <w:r>
        <w:rPr>
          <w:lang w:val="sr-Cyrl-CS"/>
        </w:rPr>
        <w:t>а.</w:t>
      </w:r>
      <w:r w:rsidRPr="001B4848">
        <w:rPr>
          <w:lang w:val="sr-Cyrl-CS"/>
        </w:rPr>
        <w:t xml:space="preserve"> </w:t>
      </w:r>
      <w:r>
        <w:rPr>
          <w:lang w:val="sr-Cyrl-CS"/>
        </w:rPr>
        <w:t>У</w:t>
      </w:r>
      <w:r w:rsidRPr="001B4848">
        <w:rPr>
          <w:lang w:val="sr-Cyrl-CS"/>
        </w:rPr>
        <w:t xml:space="preserve"> односу на план</w:t>
      </w:r>
      <w:r>
        <w:rPr>
          <w:lang w:val="sr-Cyrl-CS"/>
        </w:rPr>
        <w:t>иране већи</w:t>
      </w:r>
      <w:r w:rsidRPr="001B4848">
        <w:rPr>
          <w:lang w:val="sr-Cyrl-CS"/>
        </w:rPr>
        <w:t xml:space="preserve"> </w:t>
      </w:r>
      <w:r>
        <w:rPr>
          <w:lang w:val="sr-Cyrl-CS"/>
        </w:rPr>
        <w:t xml:space="preserve">су за </w:t>
      </w:r>
      <w:r w:rsidRPr="001B4848">
        <w:rPr>
          <w:lang w:val="sr-Cyrl-CS"/>
        </w:rPr>
        <w:t xml:space="preserve"> </w:t>
      </w:r>
      <w:r>
        <w:rPr>
          <w:lang w:val="sr-Cyrl-CS"/>
        </w:rPr>
        <w:t>51,73%, а исти</w:t>
      </w:r>
      <w:r w:rsidRPr="001B4848">
        <w:rPr>
          <w:lang w:val="sr-Cyrl-CS"/>
        </w:rPr>
        <w:t xml:space="preserve"> </w:t>
      </w:r>
      <w:r>
        <w:rPr>
          <w:lang w:val="sr-Cyrl-CS"/>
        </w:rPr>
        <w:t xml:space="preserve"> се односе на текуће одржавање пословног простора и опреме за рад. </w:t>
      </w:r>
      <w:r w:rsidRPr="00163D83">
        <w:rPr>
          <w:lang w:val="sr-Cyrl-CS"/>
        </w:rPr>
        <w:t>Ови трошкови су у односу</w:t>
      </w:r>
      <w:r>
        <w:rPr>
          <w:lang w:val="sr-Cyrl-CS"/>
        </w:rPr>
        <w:t xml:space="preserve"> на планиране већи услед реновирања пословног простора Коморе у Новом Саду, ул. Пионирска бр. 12. Реновирање је извршено по посебној Одлуци УО Коморе, бр. 194-6/14 од 24.04.2014.године. </w:t>
      </w:r>
    </w:p>
    <w:p w:rsidR="00253B32" w:rsidRPr="00A81013" w:rsidRDefault="00253B32" w:rsidP="00253B32">
      <w:pPr>
        <w:spacing w:before="0" w:line="240" w:lineRule="exact"/>
        <w:rPr>
          <w:iCs/>
          <w:lang w:val="sr-Cyrl-CS"/>
        </w:rPr>
      </w:pPr>
      <w:r w:rsidRPr="006064AE">
        <w:rPr>
          <w:iCs/>
          <w:u w:val="single"/>
          <w:lang w:val="sr-Cyrl-CS"/>
        </w:rPr>
        <w:t>Трошкови производних услуга,</w:t>
      </w:r>
      <w:r w:rsidRPr="006064AE">
        <w:rPr>
          <w:iCs/>
          <w:lang w:val="sr-Cyrl-CS"/>
        </w:rPr>
        <w:t xml:space="preserve"> износе 1.</w:t>
      </w:r>
      <w:r>
        <w:rPr>
          <w:iCs/>
        </w:rPr>
        <w:t>5</w:t>
      </w:r>
      <w:r>
        <w:rPr>
          <w:iCs/>
          <w:lang w:val="sr-Cyrl-CS"/>
        </w:rPr>
        <w:t>52</w:t>
      </w:r>
      <w:r w:rsidRPr="006064AE">
        <w:rPr>
          <w:iCs/>
          <w:lang w:val="sr-Cyrl-CS"/>
        </w:rPr>
        <w:t>.</w:t>
      </w:r>
      <w:r>
        <w:rPr>
          <w:iCs/>
        </w:rPr>
        <w:t>6</w:t>
      </w:r>
      <w:r>
        <w:rPr>
          <w:iCs/>
          <w:lang w:val="sr-Cyrl-CS"/>
        </w:rPr>
        <w:t>30</w:t>
      </w:r>
      <w:r w:rsidRPr="006064AE">
        <w:rPr>
          <w:iCs/>
          <w:lang w:val="sr-Cyrl-CS"/>
        </w:rPr>
        <w:t xml:space="preserve"> динар</w:t>
      </w:r>
      <w:r>
        <w:rPr>
          <w:iCs/>
          <w:lang w:val="sr-Cyrl-CS"/>
        </w:rPr>
        <w:t>а или 7</w:t>
      </w:r>
      <w:r>
        <w:rPr>
          <w:iCs/>
        </w:rPr>
        <w:t>1,</w:t>
      </w:r>
      <w:r>
        <w:rPr>
          <w:iCs/>
          <w:lang w:val="sr-Cyrl-CS"/>
        </w:rPr>
        <w:t>55% од планираних. Они обухватају</w:t>
      </w:r>
      <w:r w:rsidRPr="006064AE">
        <w:rPr>
          <w:iCs/>
          <w:lang w:val="sr-Cyrl-CS"/>
        </w:rPr>
        <w:t xml:space="preserve"> трошкове</w:t>
      </w:r>
      <w:r>
        <w:rPr>
          <w:iCs/>
          <w:lang w:val="sr-Cyrl-CS"/>
        </w:rPr>
        <w:t xml:space="preserve"> огласа, комуналне услуге, услуге</w:t>
      </w:r>
      <w:r w:rsidRPr="006064AE">
        <w:rPr>
          <w:iCs/>
          <w:lang w:val="sr-Cyrl-CS"/>
        </w:rPr>
        <w:t xml:space="preserve"> штампања часописа "Здравствена заштита" и интерног гласила Коморе - Билтена, </w:t>
      </w:r>
      <w:r>
        <w:rPr>
          <w:iCs/>
          <w:lang w:val="sr-Cyrl-CS"/>
        </w:rPr>
        <w:t>трошкове рекламе и пропаганде и др.</w:t>
      </w:r>
    </w:p>
    <w:p w:rsidR="00253B32" w:rsidRPr="00A81013" w:rsidRDefault="00253B32" w:rsidP="00253B32">
      <w:pPr>
        <w:spacing w:before="0" w:line="240" w:lineRule="exact"/>
        <w:rPr>
          <w:iCs/>
          <w:lang w:val="sr-Cyrl-CS"/>
        </w:rPr>
      </w:pPr>
      <w:r>
        <w:rPr>
          <w:iCs/>
          <w:u w:val="single"/>
          <w:lang w:val="sr-Cyrl-CS"/>
        </w:rPr>
        <w:t xml:space="preserve">Амортизација </w:t>
      </w:r>
      <w:r>
        <w:rPr>
          <w:iCs/>
          <w:lang w:val="sr-Cyrl-CS"/>
        </w:rPr>
        <w:t>терети трошкове у износу 2.843.510 динара и 1,95% је мања од планиране.</w:t>
      </w:r>
    </w:p>
    <w:p w:rsidR="00253B32" w:rsidRPr="00A81013" w:rsidRDefault="00253B32" w:rsidP="00253B32">
      <w:pPr>
        <w:spacing w:before="0" w:line="240" w:lineRule="exact"/>
        <w:rPr>
          <w:iCs/>
          <w:lang w:val="sr-Cyrl-CS"/>
        </w:rPr>
      </w:pPr>
      <w:r w:rsidRPr="006064AE">
        <w:rPr>
          <w:iCs/>
          <w:u w:val="single"/>
          <w:lang w:val="sr-Cyrl-CS"/>
        </w:rPr>
        <w:t xml:space="preserve">Трошкови непроизводних услуга </w:t>
      </w:r>
      <w:r w:rsidRPr="006064AE">
        <w:rPr>
          <w:iCs/>
          <w:lang w:val="sr-Cyrl-CS"/>
        </w:rPr>
        <w:t xml:space="preserve"> износе</w:t>
      </w:r>
      <w:r>
        <w:rPr>
          <w:iCs/>
          <w:lang w:val="sr-Cyrl-CS"/>
        </w:rPr>
        <w:t xml:space="preserve"> 748.427 динара,односно</w:t>
      </w:r>
      <w:r w:rsidRPr="006064AE">
        <w:rPr>
          <w:iCs/>
          <w:lang w:val="sr-Cyrl-CS"/>
        </w:rPr>
        <w:t xml:space="preserve"> </w:t>
      </w:r>
      <w:r>
        <w:rPr>
          <w:iCs/>
          <w:lang w:val="sr-Cyrl-CS"/>
        </w:rPr>
        <w:t>71,28</w:t>
      </w:r>
      <w:r w:rsidRPr="006064AE">
        <w:rPr>
          <w:iCs/>
          <w:lang w:val="sr-Cyrl-CS"/>
        </w:rPr>
        <w:t>% планираних</w:t>
      </w:r>
      <w:r>
        <w:rPr>
          <w:iCs/>
          <w:lang w:val="sr-Cyrl-CS"/>
        </w:rPr>
        <w:t>,</w:t>
      </w:r>
      <w:r w:rsidRPr="006064AE">
        <w:rPr>
          <w:iCs/>
          <w:lang w:val="sr-Cyrl-CS"/>
        </w:rPr>
        <w:t xml:space="preserve"> а односе</w:t>
      </w:r>
      <w:r>
        <w:rPr>
          <w:iCs/>
          <w:lang w:val="sr-Cyrl-CS"/>
        </w:rPr>
        <w:t xml:space="preserve"> се на: књиговодствене услуге</w:t>
      </w:r>
      <w:r w:rsidRPr="006064AE">
        <w:rPr>
          <w:iCs/>
          <w:lang w:val="sr-Cyrl-CS"/>
        </w:rPr>
        <w:t xml:space="preserve">, </w:t>
      </w:r>
      <w:r>
        <w:rPr>
          <w:iCs/>
          <w:lang w:val="sr-Cyrl-CS"/>
        </w:rPr>
        <w:t xml:space="preserve">адвокатске услуге, услуге </w:t>
      </w:r>
      <w:r w:rsidRPr="006064AE">
        <w:rPr>
          <w:iCs/>
          <w:lang w:val="sr-Cyrl-CS"/>
        </w:rPr>
        <w:t xml:space="preserve">паркинг сервиса, </w:t>
      </w:r>
      <w:r>
        <w:rPr>
          <w:iCs/>
          <w:lang w:val="sr-Cyrl-CS"/>
        </w:rPr>
        <w:t>коришћење лиценце антивирусног програма и др</w:t>
      </w:r>
      <w:r w:rsidRPr="006064AE">
        <w:rPr>
          <w:iCs/>
          <w:lang w:val="sr-Cyrl-CS"/>
        </w:rPr>
        <w:t>.</w:t>
      </w:r>
    </w:p>
    <w:p w:rsidR="00253B32" w:rsidRDefault="00253B32" w:rsidP="00253B32">
      <w:pPr>
        <w:spacing w:before="0" w:line="240" w:lineRule="exact"/>
        <w:rPr>
          <w:iCs/>
          <w:lang w:val="sr-Cyrl-CS"/>
        </w:rPr>
      </w:pPr>
      <w:r>
        <w:rPr>
          <w:iCs/>
          <w:u w:val="single"/>
          <w:lang w:val="sr-Cyrl-CS"/>
        </w:rPr>
        <w:t>Трошкови репрезентације</w:t>
      </w:r>
      <w:r>
        <w:rPr>
          <w:iCs/>
          <w:lang w:val="sr-Cyrl-CS"/>
        </w:rPr>
        <w:t xml:space="preserve"> су извршени 75,24%, у апсолутном износу - 564.337 динара.</w:t>
      </w:r>
    </w:p>
    <w:p w:rsidR="00253B32" w:rsidRPr="00A81013" w:rsidRDefault="00253B32" w:rsidP="00253B32">
      <w:pPr>
        <w:spacing w:before="0" w:line="240" w:lineRule="exact"/>
        <w:rPr>
          <w:iCs/>
          <w:lang w:val="sr-Cyrl-CS"/>
        </w:rPr>
      </w:pPr>
      <w:r>
        <w:rPr>
          <w:iCs/>
          <w:u w:val="single"/>
          <w:lang w:val="sr-Cyrl-CS"/>
        </w:rPr>
        <w:t xml:space="preserve">Трошкови репрезентације „НОРЕ“ </w:t>
      </w:r>
      <w:r>
        <w:rPr>
          <w:iCs/>
          <w:lang w:val="sr-Cyrl-CS"/>
        </w:rPr>
        <w:t xml:space="preserve">износе 304.812 динара или 60,96% планираних. </w:t>
      </w:r>
    </w:p>
    <w:p w:rsidR="00253B32" w:rsidRPr="00A81013" w:rsidRDefault="00253B32" w:rsidP="00253B32">
      <w:pPr>
        <w:spacing w:before="0" w:line="240" w:lineRule="exact"/>
        <w:rPr>
          <w:iCs/>
          <w:lang w:val="sr-Cyrl-CS"/>
        </w:rPr>
      </w:pPr>
      <w:r>
        <w:rPr>
          <w:iCs/>
          <w:u w:val="single"/>
          <w:lang w:val="sr-Cyrl-CS"/>
        </w:rPr>
        <w:t xml:space="preserve">Трошкови осигурања </w:t>
      </w:r>
      <w:r w:rsidRPr="00B2063D">
        <w:rPr>
          <w:iCs/>
          <w:u w:val="single"/>
          <w:lang w:val="sr-Cyrl-CS"/>
        </w:rPr>
        <w:t>имовине</w:t>
      </w:r>
      <w:r>
        <w:rPr>
          <w:iCs/>
          <w:lang w:val="sr-Cyrl-CS"/>
        </w:rPr>
        <w:t xml:space="preserve"> </w:t>
      </w:r>
      <w:r w:rsidRPr="00B2063D">
        <w:rPr>
          <w:iCs/>
          <w:lang w:val="sr-Cyrl-CS"/>
        </w:rPr>
        <w:t>износе</w:t>
      </w:r>
      <w:r>
        <w:rPr>
          <w:iCs/>
          <w:lang w:val="sr-Cyrl-CS"/>
        </w:rPr>
        <w:t xml:space="preserve"> 219.377 динара и њихово извршење износи 73,13% од плана. Односе се на осигурање основних средстава и опреме, као и осигурања запослених. </w:t>
      </w:r>
    </w:p>
    <w:p w:rsidR="00253B32" w:rsidRDefault="00253B32" w:rsidP="00253B32">
      <w:pPr>
        <w:spacing w:before="0" w:line="240" w:lineRule="exact"/>
        <w:rPr>
          <w:iCs/>
          <w:lang w:val="sr-Cyrl-CS"/>
        </w:rPr>
      </w:pPr>
      <w:r>
        <w:rPr>
          <w:iCs/>
          <w:u w:val="single"/>
          <w:lang w:val="sr-Cyrl-CS"/>
        </w:rPr>
        <w:t xml:space="preserve">Трошкови платног промета и банкарских услуга </w:t>
      </w:r>
      <w:r>
        <w:rPr>
          <w:iCs/>
          <w:lang w:val="sr-Cyrl-CS"/>
        </w:rPr>
        <w:t xml:space="preserve"> су 77.377 динара или 51,58%  планитраних.</w:t>
      </w:r>
    </w:p>
    <w:p w:rsidR="00253B32" w:rsidRPr="00A81013" w:rsidRDefault="00253B32" w:rsidP="00253B32">
      <w:pPr>
        <w:spacing w:before="0" w:line="240" w:lineRule="exact"/>
        <w:rPr>
          <w:iCs/>
          <w:lang w:val="sr-Cyrl-CS"/>
        </w:rPr>
      </w:pPr>
      <w:r>
        <w:rPr>
          <w:iCs/>
          <w:u w:val="single"/>
          <w:lang w:val="sr-Cyrl-CS"/>
        </w:rPr>
        <w:t>Трошкови чланарина</w:t>
      </w:r>
      <w:r>
        <w:rPr>
          <w:iCs/>
          <w:lang w:val="sr-Cyrl-CS"/>
        </w:rPr>
        <w:t xml:space="preserve"> износе 288.786 динара или 96,26% планираних трошкова за ову намену.</w:t>
      </w:r>
    </w:p>
    <w:p w:rsidR="00253B32" w:rsidRPr="00A81013" w:rsidRDefault="00253B32" w:rsidP="00253B32">
      <w:pPr>
        <w:spacing w:before="0" w:line="240" w:lineRule="exact"/>
        <w:rPr>
          <w:iCs/>
          <w:lang w:val="sr-Cyrl-CS"/>
        </w:rPr>
      </w:pPr>
      <w:r>
        <w:rPr>
          <w:iCs/>
          <w:u w:val="single"/>
          <w:lang w:val="sr-Cyrl-CS"/>
        </w:rPr>
        <w:t xml:space="preserve">Накнада за грађевинско земљиште и порези који терете трошкове </w:t>
      </w:r>
      <w:r w:rsidRPr="00762BDF">
        <w:rPr>
          <w:iCs/>
          <w:lang w:val="sr-Cyrl-CS"/>
        </w:rPr>
        <w:t xml:space="preserve">су </w:t>
      </w:r>
      <w:r>
        <w:rPr>
          <w:iCs/>
          <w:lang w:val="sr-Cyrl-CS"/>
        </w:rPr>
        <w:t>661</w:t>
      </w:r>
      <w:r w:rsidRPr="00762BDF">
        <w:rPr>
          <w:iCs/>
          <w:lang w:val="sr-Cyrl-CS"/>
        </w:rPr>
        <w:t>.</w:t>
      </w:r>
      <w:r>
        <w:rPr>
          <w:iCs/>
          <w:lang w:val="sr-Cyrl-CS"/>
        </w:rPr>
        <w:t>218</w:t>
      </w:r>
      <w:r w:rsidRPr="00762BDF">
        <w:rPr>
          <w:iCs/>
          <w:lang w:val="sr-Cyrl-CS"/>
        </w:rPr>
        <w:t xml:space="preserve"> динара </w:t>
      </w:r>
      <w:r>
        <w:rPr>
          <w:iCs/>
          <w:lang w:val="sr-Cyrl-CS"/>
        </w:rPr>
        <w:t>(индекс 132,24). У ове трошкове спадају: порез на имовину, порез на употребу моторних возила, накнада за коришћење грађевинског земљишта и накнада за коришћење шума.</w:t>
      </w:r>
    </w:p>
    <w:p w:rsidR="00253B32" w:rsidRPr="00A81013" w:rsidRDefault="00253B32" w:rsidP="00253B32">
      <w:pPr>
        <w:spacing w:before="0" w:line="240" w:lineRule="exact"/>
        <w:rPr>
          <w:iCs/>
          <w:lang w:val="sr-Cyrl-CS"/>
        </w:rPr>
      </w:pPr>
      <w:r>
        <w:rPr>
          <w:iCs/>
          <w:u w:val="single"/>
          <w:lang w:val="sr-Cyrl-CS"/>
        </w:rPr>
        <w:t xml:space="preserve">Остали нематеријални трошкови </w:t>
      </w:r>
      <w:r w:rsidRPr="00762BDF">
        <w:rPr>
          <w:iCs/>
          <w:lang w:val="sr-Cyrl-CS"/>
        </w:rPr>
        <w:t xml:space="preserve">– таксе и претплата на часописе и стручну литературу, </w:t>
      </w:r>
      <w:r>
        <w:rPr>
          <w:iCs/>
          <w:lang w:val="sr-Cyrl-CS"/>
        </w:rPr>
        <w:t>износе 572.964 динара и њихово извршење је 95,49%.</w:t>
      </w:r>
    </w:p>
    <w:p w:rsidR="00253B32" w:rsidRPr="00A81013" w:rsidRDefault="00253B32" w:rsidP="00253B32">
      <w:pPr>
        <w:spacing w:before="0" w:line="240" w:lineRule="exact"/>
        <w:rPr>
          <w:iCs/>
          <w:lang w:val="sr-Cyrl-CS"/>
        </w:rPr>
      </w:pPr>
      <w:r>
        <w:rPr>
          <w:iCs/>
          <w:u w:val="single"/>
          <w:lang w:val="sr-Cyrl-CS"/>
        </w:rPr>
        <w:t xml:space="preserve">Остали трошкови су </w:t>
      </w:r>
      <w:r>
        <w:rPr>
          <w:iCs/>
          <w:lang w:val="sr-Cyrl-CS"/>
        </w:rPr>
        <w:t xml:space="preserve"> 3</w:t>
      </w:r>
      <w:r w:rsidRPr="00AF5801">
        <w:rPr>
          <w:iCs/>
          <w:lang w:val="sr-Cyrl-CS"/>
        </w:rPr>
        <w:t>1</w:t>
      </w:r>
      <w:r>
        <w:rPr>
          <w:iCs/>
          <w:lang w:val="sr-Cyrl-CS"/>
        </w:rPr>
        <w:t>3.280 динара. Ови трошкови су већи  у односу на планиране (индекс 626,56) због уплате 300,000 динара на име помоћи угроженима од поплава. Уплата је извршена по посебној Одлуци УО Коморе од 18.06.214.године на наменски рачун Владе Републике Србије.</w:t>
      </w:r>
    </w:p>
    <w:p w:rsidR="00253B32" w:rsidRPr="00A81013" w:rsidRDefault="00253B32" w:rsidP="00253B32">
      <w:pPr>
        <w:spacing w:before="0" w:line="240" w:lineRule="exact"/>
        <w:rPr>
          <w:iCs/>
          <w:u w:val="single"/>
          <w:lang w:val="sr-Cyrl-CS"/>
        </w:rPr>
      </w:pPr>
      <w:r w:rsidRPr="00BF28C1">
        <w:rPr>
          <w:iCs/>
          <w:u w:val="single"/>
          <w:lang w:val="sr-Cyrl-CS"/>
        </w:rPr>
        <w:t>Разлика између прихода и расхода</w:t>
      </w:r>
      <w:r>
        <w:rPr>
          <w:iCs/>
          <w:lang w:val="sr-Cyrl-CS"/>
        </w:rPr>
        <w:t xml:space="preserve"> (вишак прихода над расходима пре опорезивања)</w:t>
      </w:r>
      <w:r w:rsidRPr="00DA4FE4">
        <w:rPr>
          <w:iCs/>
          <w:lang w:val="sr-Cyrl-CS"/>
        </w:rPr>
        <w:t xml:space="preserve"> </w:t>
      </w:r>
      <w:r>
        <w:rPr>
          <w:iCs/>
          <w:lang w:val="sr-Cyrl-CS"/>
        </w:rPr>
        <w:t>износи</w:t>
      </w:r>
      <w:r w:rsidRPr="00DA4FE4">
        <w:rPr>
          <w:iCs/>
          <w:lang w:val="sr-Cyrl-CS"/>
        </w:rPr>
        <w:t xml:space="preserve"> </w:t>
      </w:r>
      <w:r>
        <w:rPr>
          <w:iCs/>
          <w:lang w:val="sr-Cyrl-CS"/>
        </w:rPr>
        <w:t>1</w:t>
      </w:r>
      <w:r w:rsidRPr="00DA4FE4">
        <w:rPr>
          <w:iCs/>
          <w:lang w:val="sr-Cyrl-CS"/>
        </w:rPr>
        <w:t>.</w:t>
      </w:r>
      <w:r>
        <w:rPr>
          <w:iCs/>
          <w:lang w:val="sr-Cyrl-CS"/>
        </w:rPr>
        <w:t>188</w:t>
      </w:r>
      <w:r w:rsidRPr="00DA4FE4">
        <w:rPr>
          <w:iCs/>
          <w:lang w:val="sr-Cyrl-CS"/>
        </w:rPr>
        <w:t>.8</w:t>
      </w:r>
      <w:r>
        <w:rPr>
          <w:iCs/>
          <w:lang w:val="sr-Cyrl-CS"/>
        </w:rPr>
        <w:t>76 динара.</w:t>
      </w:r>
    </w:p>
    <w:p w:rsidR="00253B32" w:rsidRDefault="00253B32" w:rsidP="00253B32">
      <w:pPr>
        <w:spacing w:before="0" w:line="240" w:lineRule="exact"/>
        <w:ind w:firstLine="0"/>
        <w:rPr>
          <w:iCs/>
          <w:lang w:val="sr-Cyrl-CS"/>
        </w:rPr>
      </w:pPr>
    </w:p>
    <w:p w:rsidR="00253B32" w:rsidRPr="006064AE" w:rsidRDefault="00253B32" w:rsidP="00253B32">
      <w:pPr>
        <w:spacing w:before="0" w:line="240" w:lineRule="exact"/>
        <w:ind w:firstLine="0"/>
        <w:rPr>
          <w:iCs/>
          <w:lang w:val="sr-Cyrl-CS"/>
        </w:rPr>
      </w:pPr>
      <w:r>
        <w:rPr>
          <w:iCs/>
          <w:lang w:val="sr-Cyrl-CS"/>
        </w:rPr>
        <w:tab/>
        <w:t>У наставку се даје упоредни преглед планираних и остварених прихода и расхода за 2014. годину са индексним показатељима.</w:t>
      </w:r>
    </w:p>
    <w:p w:rsidR="00253B32" w:rsidRPr="00EF0726" w:rsidRDefault="00253B32" w:rsidP="00EF0726">
      <w:pPr>
        <w:spacing w:before="0" w:line="240" w:lineRule="exact"/>
        <w:rPr>
          <w:b/>
          <w:sz w:val="20"/>
          <w:szCs w:val="20"/>
          <w:lang w:val="sr-Cyrl-CS"/>
        </w:rPr>
      </w:pPr>
      <w:r w:rsidRPr="006064AE">
        <w:rPr>
          <w:b/>
          <w:sz w:val="20"/>
          <w:szCs w:val="20"/>
          <w:lang w:val="sr-Cyrl-CS"/>
        </w:rPr>
        <w:t xml:space="preserve">                                                                                           </w:t>
      </w:r>
      <w:r w:rsidR="00EF0726">
        <w:rPr>
          <w:b/>
          <w:sz w:val="20"/>
          <w:szCs w:val="20"/>
          <w:lang w:val="sr-Cyrl-CS"/>
        </w:rPr>
        <w:t xml:space="preserve">                </w:t>
      </w:r>
    </w:p>
    <w:tbl>
      <w:tblPr>
        <w:tblW w:w="10980" w:type="dxa"/>
        <w:jc w:val="center"/>
        <w:tblInd w:w="-1152" w:type="dxa"/>
        <w:tblLayout w:type="fixed"/>
        <w:tblLook w:val="0000"/>
      </w:tblPr>
      <w:tblGrid>
        <w:gridCol w:w="720"/>
        <w:gridCol w:w="1710"/>
        <w:gridCol w:w="3690"/>
        <w:gridCol w:w="1980"/>
        <w:gridCol w:w="1980"/>
        <w:gridCol w:w="900"/>
      </w:tblGrid>
      <w:tr w:rsidR="00253B32" w:rsidRPr="00E555D8" w:rsidTr="00941A8C">
        <w:trPr>
          <w:trHeight w:val="255"/>
          <w:jc w:val="center"/>
        </w:trPr>
        <w:tc>
          <w:tcPr>
            <w:tcW w:w="1098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53B32" w:rsidRPr="00E555D8" w:rsidRDefault="00253B32" w:rsidP="00941A8C">
            <w:pPr>
              <w:spacing w:before="0"/>
              <w:ind w:firstLine="0"/>
              <w:jc w:val="center"/>
              <w:rPr>
                <w:rFonts w:ascii="Tahoma" w:hAnsi="Tahoma" w:cs="Tahoma"/>
                <w:bCs/>
                <w:sz w:val="20"/>
                <w:szCs w:val="20"/>
                <w:lang w:val="sr-Cyrl-CS"/>
              </w:rPr>
            </w:pPr>
          </w:p>
          <w:p w:rsidR="00253B32" w:rsidRPr="00E555D8" w:rsidRDefault="00253B32" w:rsidP="00941A8C">
            <w:pPr>
              <w:spacing w:before="0"/>
              <w:ind w:firstLine="0"/>
              <w:jc w:val="center"/>
              <w:rPr>
                <w:rFonts w:ascii="Tahoma" w:hAnsi="Tahoma" w:cs="Tahoma"/>
                <w:bCs/>
                <w:sz w:val="20"/>
                <w:szCs w:val="20"/>
                <w:lang w:val="sr-Cyrl-CS"/>
              </w:rPr>
            </w:pPr>
            <w:r w:rsidRPr="00E555D8">
              <w:rPr>
                <w:rFonts w:ascii="Tahoma" w:hAnsi="Tahoma" w:cs="Tahoma"/>
                <w:bCs/>
                <w:sz w:val="20"/>
                <w:szCs w:val="20"/>
                <w:lang w:val="sr-Cyrl-CS"/>
              </w:rPr>
              <w:t>УПОРЕНИ ПРЕГЛЕД ОСТВАРЕНИ И ПЛАНИРАНИХ ПРИХОДА И РАСХОДА ЗА 201</w:t>
            </w:r>
            <w:r>
              <w:rPr>
                <w:rFonts w:ascii="Tahoma" w:hAnsi="Tahoma" w:cs="Tahoma"/>
                <w:bCs/>
                <w:sz w:val="20"/>
                <w:szCs w:val="20"/>
                <w:lang w:val="sr-Cyrl-CS"/>
              </w:rPr>
              <w:t>4</w:t>
            </w:r>
            <w:r w:rsidRPr="00E555D8">
              <w:rPr>
                <w:rFonts w:ascii="Tahoma" w:hAnsi="Tahoma" w:cs="Tahoma"/>
                <w:bCs/>
                <w:sz w:val="20"/>
                <w:szCs w:val="20"/>
                <w:lang w:val="sr-Cyrl-CS"/>
              </w:rPr>
              <w:t>.ГОДИНУ</w:t>
            </w:r>
          </w:p>
          <w:p w:rsidR="00253B32" w:rsidRPr="00E555D8" w:rsidRDefault="00253B32" w:rsidP="00941A8C">
            <w:pPr>
              <w:spacing w:before="0"/>
              <w:ind w:firstLine="0"/>
              <w:jc w:val="center"/>
              <w:rPr>
                <w:rFonts w:ascii="Tahoma" w:hAnsi="Tahoma" w:cs="Tahoma"/>
                <w:bCs/>
                <w:sz w:val="20"/>
                <w:szCs w:val="20"/>
                <w:lang w:val="sr-Cyrl-CS"/>
              </w:rPr>
            </w:pPr>
          </w:p>
        </w:tc>
      </w:tr>
      <w:tr w:rsidR="00253B32" w:rsidRPr="00E555D8" w:rsidTr="00941A8C">
        <w:trPr>
          <w:trHeight w:val="260"/>
          <w:jc w:val="center"/>
        </w:trPr>
        <w:tc>
          <w:tcPr>
            <w:tcW w:w="10980"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lang w:val="sr-Cyrl-CS"/>
              </w:rPr>
            </w:pPr>
          </w:p>
        </w:tc>
      </w:tr>
      <w:tr w:rsidR="00253B32" w:rsidRPr="00E555D8" w:rsidTr="00941A8C">
        <w:trPr>
          <w:trHeight w:val="255"/>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Ред</w:t>
            </w:r>
            <w:proofErr w:type="spellEnd"/>
            <w:r w:rsidRPr="00E555D8">
              <w:rPr>
                <w:rFonts w:ascii="Tahoma" w:hAnsi="Tahoma" w:cs="Tahoma"/>
                <w:bCs/>
                <w:sz w:val="20"/>
                <w:szCs w:val="20"/>
              </w:rPr>
              <w:t>.</w:t>
            </w:r>
            <w:r w:rsidRPr="00E555D8">
              <w:rPr>
                <w:rFonts w:ascii="Tahoma" w:hAnsi="Tahoma" w:cs="Tahoma"/>
                <w:bCs/>
                <w:sz w:val="20"/>
                <w:szCs w:val="20"/>
              </w:rPr>
              <w:br/>
            </w:r>
            <w:proofErr w:type="spellStart"/>
            <w:r w:rsidRPr="00E555D8">
              <w:rPr>
                <w:rFonts w:ascii="Tahoma" w:hAnsi="Tahoma" w:cs="Tahoma"/>
                <w:bCs/>
                <w:sz w:val="20"/>
                <w:szCs w:val="20"/>
              </w:rPr>
              <w:t>Број</w:t>
            </w:r>
            <w:proofErr w:type="spellEnd"/>
          </w:p>
        </w:tc>
        <w:tc>
          <w:tcPr>
            <w:tcW w:w="1710" w:type="dxa"/>
            <w:vMerge w:val="restart"/>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Конто</w:t>
            </w:r>
            <w:proofErr w:type="spellEnd"/>
          </w:p>
        </w:tc>
        <w:tc>
          <w:tcPr>
            <w:tcW w:w="3690" w:type="dxa"/>
            <w:vMerge w:val="restart"/>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Опис</w:t>
            </w:r>
            <w:proofErr w:type="spellEnd"/>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Планирано</w:t>
            </w:r>
            <w:proofErr w:type="spellEnd"/>
            <w:r w:rsidRPr="00E555D8">
              <w:rPr>
                <w:rFonts w:ascii="Tahoma" w:hAnsi="Tahoma" w:cs="Tahoma"/>
                <w:bCs/>
                <w:sz w:val="20"/>
                <w:szCs w:val="20"/>
              </w:rPr>
              <w:br/>
              <w:t>I - XII 20</w:t>
            </w:r>
            <w:r w:rsidRPr="00E555D8">
              <w:rPr>
                <w:rFonts w:ascii="Tahoma" w:hAnsi="Tahoma" w:cs="Tahoma"/>
                <w:bCs/>
                <w:sz w:val="20"/>
                <w:szCs w:val="20"/>
                <w:lang w:val="sr-Cyrl-CS"/>
              </w:rPr>
              <w:t>1</w:t>
            </w:r>
            <w:r>
              <w:rPr>
                <w:rFonts w:ascii="Tahoma" w:hAnsi="Tahoma" w:cs="Tahoma"/>
                <w:bCs/>
                <w:sz w:val="20"/>
                <w:szCs w:val="20"/>
                <w:lang w:val="sr-Cyrl-CS"/>
              </w:rPr>
              <w:t>4</w:t>
            </w:r>
            <w:r w:rsidRPr="00E555D8">
              <w:rPr>
                <w:rFonts w:ascii="Tahoma" w:hAnsi="Tahoma" w:cs="Tahoma"/>
                <w:bCs/>
                <w:sz w:val="20"/>
                <w:szCs w:val="20"/>
              </w:rPr>
              <w:t>.</w:t>
            </w:r>
            <w:r w:rsidRPr="00E555D8">
              <w:rPr>
                <w:rFonts w:ascii="Tahoma" w:hAnsi="Tahoma" w:cs="Tahoma"/>
                <w:bCs/>
                <w:sz w:val="20"/>
                <w:szCs w:val="20"/>
                <w:lang w:val="sr-Cyrl-CS"/>
              </w:rPr>
              <w:t>г</w:t>
            </w:r>
            <w:r w:rsidRPr="00E555D8">
              <w:rPr>
                <w:rFonts w:ascii="Tahoma" w:hAnsi="Tahoma" w:cs="Tahoma"/>
                <w:bCs/>
                <w:sz w:val="20"/>
                <w:szCs w:val="20"/>
              </w:rPr>
              <w:t>.</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Остварено</w:t>
            </w:r>
            <w:proofErr w:type="spellEnd"/>
            <w:r w:rsidRPr="00E555D8">
              <w:rPr>
                <w:rFonts w:ascii="Tahoma" w:hAnsi="Tahoma" w:cs="Tahoma"/>
                <w:bCs/>
                <w:sz w:val="20"/>
                <w:szCs w:val="20"/>
              </w:rPr>
              <w:br/>
              <w:t>I - XII</w:t>
            </w:r>
            <w:r w:rsidRPr="00E555D8">
              <w:rPr>
                <w:rFonts w:ascii="Tahoma" w:hAnsi="Tahoma" w:cs="Tahoma"/>
                <w:bCs/>
                <w:sz w:val="20"/>
                <w:szCs w:val="20"/>
                <w:lang w:val="sr-Cyrl-CS"/>
              </w:rPr>
              <w:t xml:space="preserve"> </w:t>
            </w:r>
            <w:r w:rsidRPr="00E555D8">
              <w:rPr>
                <w:rFonts w:ascii="Tahoma" w:hAnsi="Tahoma" w:cs="Tahoma"/>
                <w:bCs/>
                <w:sz w:val="20"/>
                <w:szCs w:val="20"/>
              </w:rPr>
              <w:t>20</w:t>
            </w:r>
            <w:r w:rsidRPr="00E555D8">
              <w:rPr>
                <w:rFonts w:ascii="Tahoma" w:hAnsi="Tahoma" w:cs="Tahoma"/>
                <w:bCs/>
                <w:sz w:val="20"/>
                <w:szCs w:val="20"/>
                <w:lang w:val="sr-Cyrl-CS"/>
              </w:rPr>
              <w:t>1</w:t>
            </w:r>
            <w:r>
              <w:rPr>
                <w:rFonts w:ascii="Tahoma" w:hAnsi="Tahoma" w:cs="Tahoma"/>
                <w:bCs/>
                <w:sz w:val="20"/>
                <w:szCs w:val="20"/>
                <w:lang w:val="sr-Cyrl-CS"/>
              </w:rPr>
              <w:t>4</w:t>
            </w:r>
            <w:r w:rsidRPr="00E555D8">
              <w:rPr>
                <w:rFonts w:ascii="Tahoma" w:hAnsi="Tahoma" w:cs="Tahoma"/>
                <w:bCs/>
                <w:sz w:val="20"/>
                <w:szCs w:val="20"/>
              </w:rPr>
              <w:t>.г.</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center"/>
              <w:rPr>
                <w:rFonts w:ascii="Tahoma" w:hAnsi="Tahoma" w:cs="Tahoma"/>
                <w:bCs/>
                <w:sz w:val="20"/>
                <w:szCs w:val="20"/>
              </w:rPr>
            </w:pPr>
            <w:proofErr w:type="spellStart"/>
            <w:r w:rsidRPr="00E555D8">
              <w:rPr>
                <w:rFonts w:ascii="Tahoma" w:hAnsi="Tahoma" w:cs="Tahoma"/>
                <w:bCs/>
                <w:sz w:val="20"/>
                <w:szCs w:val="20"/>
              </w:rPr>
              <w:t>Индекс</w:t>
            </w:r>
            <w:proofErr w:type="spellEnd"/>
            <w:r w:rsidRPr="00E555D8">
              <w:rPr>
                <w:rFonts w:ascii="Tahoma" w:hAnsi="Tahoma" w:cs="Tahoma"/>
                <w:bCs/>
                <w:sz w:val="20"/>
                <w:szCs w:val="20"/>
              </w:rPr>
              <w:br/>
              <w:t>5/4</w:t>
            </w:r>
          </w:p>
        </w:tc>
      </w:tr>
      <w:tr w:rsidR="00253B32" w:rsidRPr="00E555D8" w:rsidTr="00941A8C">
        <w:trPr>
          <w:trHeight w:val="255"/>
          <w:jc w:val="center"/>
        </w:trPr>
        <w:tc>
          <w:tcPr>
            <w:tcW w:w="72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c>
          <w:tcPr>
            <w:tcW w:w="171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c>
          <w:tcPr>
            <w:tcW w:w="198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rsidR="00253B32" w:rsidRPr="00E555D8" w:rsidRDefault="00253B32" w:rsidP="00941A8C">
            <w:pPr>
              <w:spacing w:before="0"/>
              <w:ind w:firstLine="0"/>
              <w:jc w:val="left"/>
              <w:rPr>
                <w:rFonts w:ascii="Tahoma" w:hAnsi="Tahoma" w:cs="Tahoma"/>
                <w:bCs/>
                <w:sz w:val="20"/>
                <w:szCs w:val="20"/>
              </w:rPr>
            </w:pPr>
          </w:p>
        </w:tc>
      </w:tr>
      <w:tr w:rsidR="00253B32" w:rsidRPr="00E555D8" w:rsidTr="00941A8C">
        <w:trPr>
          <w:trHeight w:val="27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1</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2</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3</w:t>
            </w:r>
          </w:p>
        </w:tc>
        <w:tc>
          <w:tcPr>
            <w:tcW w:w="198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4</w:t>
            </w:r>
          </w:p>
        </w:tc>
        <w:tc>
          <w:tcPr>
            <w:tcW w:w="198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5</w:t>
            </w:r>
          </w:p>
        </w:tc>
        <w:tc>
          <w:tcPr>
            <w:tcW w:w="90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bCs/>
                <w:sz w:val="16"/>
                <w:szCs w:val="16"/>
              </w:rPr>
            </w:pPr>
            <w:r w:rsidRPr="00E555D8">
              <w:rPr>
                <w:rFonts w:ascii="Tahoma" w:hAnsi="Tahoma" w:cs="Tahoma"/>
                <w:bCs/>
                <w:sz w:val="16"/>
                <w:szCs w:val="16"/>
              </w:rPr>
              <w:t>6</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I</w:t>
            </w:r>
          </w:p>
        </w:tc>
        <w:tc>
          <w:tcPr>
            <w:tcW w:w="1710" w:type="dxa"/>
            <w:tcBorders>
              <w:top w:val="nil"/>
              <w:left w:val="nil"/>
              <w:bottom w:val="single" w:sz="4" w:space="0" w:color="auto"/>
              <w:right w:val="single" w:sz="4" w:space="0" w:color="auto"/>
            </w:tcBorders>
            <w:shd w:val="clear" w:color="auto" w:fill="auto"/>
            <w:noWrap/>
            <w:vAlign w:val="bottom"/>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 </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bCs/>
                <w:sz w:val="20"/>
                <w:szCs w:val="20"/>
              </w:rPr>
            </w:pPr>
            <w:r w:rsidRPr="00E555D8">
              <w:rPr>
                <w:rFonts w:ascii="Tahoma" w:hAnsi="Tahoma" w:cs="Tahoma"/>
                <w:bCs/>
                <w:sz w:val="20"/>
                <w:szCs w:val="20"/>
              </w:rPr>
              <w:t>ПРИХОДИ:</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bCs/>
                <w:sz w:val="20"/>
                <w:szCs w:val="20"/>
                <w:lang w:val="sr-Cyrl-CS"/>
              </w:rPr>
            </w:pPr>
            <w:r>
              <w:rPr>
                <w:rFonts w:ascii="Tahoma" w:hAnsi="Tahoma" w:cs="Tahoma"/>
                <w:sz w:val="20"/>
                <w:szCs w:val="20"/>
                <w:lang w:val="sr-Cyrl-CS"/>
              </w:rPr>
              <w:t>41,817,000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bCs/>
                <w:sz w:val="20"/>
                <w:szCs w:val="20"/>
                <w:lang w:val="sr-Cyrl-CS"/>
              </w:rPr>
            </w:pPr>
            <w:r w:rsidRPr="00403FCE">
              <w:rPr>
                <w:rFonts w:ascii="Tahoma" w:hAnsi="Tahoma" w:cs="Tahoma"/>
                <w:bCs/>
                <w:sz w:val="20"/>
                <w:szCs w:val="20"/>
                <w:lang w:val="sr-Cyrl-CS"/>
              </w:rPr>
              <w:t>4</w:t>
            </w:r>
            <w:r>
              <w:rPr>
                <w:rFonts w:ascii="Tahoma" w:hAnsi="Tahoma" w:cs="Tahoma"/>
                <w:bCs/>
                <w:sz w:val="20"/>
                <w:szCs w:val="20"/>
                <w:lang w:val="sr-Cyrl-CS"/>
              </w:rPr>
              <w:t>0</w:t>
            </w:r>
            <w:r w:rsidRPr="00403FCE">
              <w:rPr>
                <w:rFonts w:ascii="Tahoma" w:hAnsi="Tahoma" w:cs="Tahoma"/>
                <w:bCs/>
                <w:sz w:val="20"/>
                <w:szCs w:val="20"/>
                <w:lang w:val="sr-Cyrl-CS"/>
              </w:rPr>
              <w:t>,</w:t>
            </w:r>
            <w:r>
              <w:rPr>
                <w:rFonts w:ascii="Tahoma" w:hAnsi="Tahoma" w:cs="Tahoma"/>
                <w:bCs/>
                <w:sz w:val="20"/>
                <w:szCs w:val="20"/>
                <w:lang w:val="sr-Cyrl-CS"/>
              </w:rPr>
              <w:t>127</w:t>
            </w:r>
            <w:r w:rsidRPr="00403FCE">
              <w:rPr>
                <w:rFonts w:ascii="Tahoma" w:hAnsi="Tahoma" w:cs="Tahoma"/>
                <w:bCs/>
                <w:sz w:val="20"/>
                <w:szCs w:val="20"/>
                <w:lang w:val="sr-Cyrl-CS"/>
              </w:rPr>
              <w:t>,</w:t>
            </w:r>
            <w:r>
              <w:rPr>
                <w:rFonts w:ascii="Tahoma" w:hAnsi="Tahoma" w:cs="Tahoma"/>
                <w:bCs/>
                <w:sz w:val="20"/>
                <w:szCs w:val="20"/>
                <w:lang w:val="sr-Cyrl-CS"/>
              </w:rPr>
              <w:t>589</w:t>
            </w:r>
          </w:p>
        </w:tc>
        <w:tc>
          <w:tcPr>
            <w:tcW w:w="90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95.96</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1</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Pr>
                <w:rFonts w:ascii="Tahoma" w:hAnsi="Tahoma" w:cs="Tahoma"/>
                <w:sz w:val="20"/>
                <w:szCs w:val="20"/>
              </w:rPr>
              <w:t>630</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Приходи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од</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чланарина</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41,117,000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rPr>
            </w:pPr>
            <w:r>
              <w:rPr>
                <w:rFonts w:ascii="Tahoma" w:hAnsi="Tahoma" w:cs="Tahoma"/>
                <w:sz w:val="20"/>
                <w:szCs w:val="20"/>
                <w:lang w:val="sr-Cyrl-CS"/>
              </w:rPr>
              <w:t>39</w:t>
            </w:r>
            <w:r w:rsidRPr="00403FCE">
              <w:rPr>
                <w:rFonts w:ascii="Tahoma" w:hAnsi="Tahoma" w:cs="Tahoma"/>
                <w:sz w:val="20"/>
                <w:szCs w:val="20"/>
                <w:lang w:val="sr-Cyrl-CS"/>
              </w:rPr>
              <w:t>,2</w:t>
            </w:r>
            <w:r>
              <w:rPr>
                <w:rFonts w:ascii="Tahoma" w:hAnsi="Tahoma" w:cs="Tahoma"/>
                <w:sz w:val="20"/>
                <w:szCs w:val="20"/>
                <w:lang w:val="sr-Cyrl-CS"/>
              </w:rPr>
              <w:t>25</w:t>
            </w:r>
            <w:r w:rsidRPr="00403FCE">
              <w:rPr>
                <w:rFonts w:ascii="Tahoma" w:hAnsi="Tahoma" w:cs="Tahoma"/>
                <w:sz w:val="20"/>
                <w:szCs w:val="20"/>
                <w:lang w:val="sr-Cyrl-CS"/>
              </w:rPr>
              <w:t>,</w:t>
            </w:r>
            <w:r>
              <w:rPr>
                <w:rFonts w:ascii="Tahoma" w:hAnsi="Tahoma" w:cs="Tahoma"/>
                <w:sz w:val="20"/>
                <w:szCs w:val="20"/>
                <w:lang w:val="sr-Cyrl-CS"/>
              </w:rPr>
              <w:t>895</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95.47</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2</w:t>
            </w:r>
          </w:p>
        </w:tc>
        <w:tc>
          <w:tcPr>
            <w:tcW w:w="1710" w:type="dxa"/>
            <w:tcBorders>
              <w:top w:val="nil"/>
              <w:left w:val="nil"/>
              <w:bottom w:val="single" w:sz="4" w:space="0" w:color="auto"/>
              <w:right w:val="single" w:sz="4" w:space="0" w:color="auto"/>
            </w:tcBorders>
            <w:shd w:val="clear" w:color="auto" w:fill="auto"/>
            <w:noWrap/>
            <w:vAlign w:val="center"/>
          </w:tcPr>
          <w:p w:rsidR="00253B32" w:rsidRDefault="00253B32" w:rsidP="00941A8C">
            <w:pPr>
              <w:spacing w:before="0"/>
              <w:ind w:firstLine="0"/>
              <w:jc w:val="center"/>
              <w:rPr>
                <w:rFonts w:ascii="Tahoma" w:hAnsi="Tahoma" w:cs="Tahoma"/>
                <w:sz w:val="20"/>
                <w:szCs w:val="20"/>
              </w:rPr>
            </w:pPr>
            <w:r>
              <w:rPr>
                <w:rFonts w:ascii="Tahoma" w:hAnsi="Tahoma" w:cs="Tahoma"/>
                <w:sz w:val="20"/>
                <w:szCs w:val="20"/>
              </w:rPr>
              <w:t>651,661,</w:t>
            </w:r>
          </w:p>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662</w:t>
            </w:r>
            <w:r w:rsidRPr="00E555D8">
              <w:rPr>
                <w:rFonts w:ascii="Tahoma" w:hAnsi="Tahoma" w:cs="Tahoma"/>
                <w:sz w:val="20"/>
                <w:szCs w:val="20"/>
                <w:lang w:val="sr-Cyrl-CS"/>
              </w:rPr>
              <w:t>, 679</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Приходи од камата и остали приходи</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700,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8</w:t>
            </w:r>
            <w:r w:rsidRPr="00403FCE">
              <w:rPr>
                <w:rFonts w:ascii="Tahoma" w:hAnsi="Tahoma" w:cs="Tahoma"/>
                <w:sz w:val="20"/>
                <w:szCs w:val="20"/>
                <w:lang w:val="sr-Cyrl-CS"/>
              </w:rPr>
              <w:t>7</w:t>
            </w:r>
            <w:r>
              <w:rPr>
                <w:rFonts w:ascii="Tahoma" w:hAnsi="Tahoma" w:cs="Tahoma"/>
                <w:sz w:val="20"/>
                <w:szCs w:val="20"/>
                <w:lang w:val="sr-Cyrl-CS"/>
              </w:rPr>
              <w:t>1</w:t>
            </w:r>
            <w:r w:rsidRPr="00403FCE">
              <w:rPr>
                <w:rFonts w:ascii="Tahoma" w:hAnsi="Tahoma" w:cs="Tahoma"/>
                <w:sz w:val="20"/>
                <w:szCs w:val="20"/>
                <w:lang w:val="sr-Cyrl-CS"/>
              </w:rPr>
              <w:t>,</w:t>
            </w:r>
            <w:r>
              <w:rPr>
                <w:rFonts w:ascii="Tahoma" w:hAnsi="Tahoma" w:cs="Tahoma"/>
                <w:sz w:val="20"/>
                <w:szCs w:val="20"/>
                <w:lang w:val="sr-Cyrl-CS"/>
              </w:rPr>
              <w:t>69</w:t>
            </w:r>
            <w:r w:rsidRPr="00403FCE">
              <w:rPr>
                <w:rFonts w:ascii="Tahoma" w:hAnsi="Tahoma" w:cs="Tahoma"/>
                <w:sz w:val="20"/>
                <w:szCs w:val="20"/>
                <w:lang w:val="sr-Cyrl-CS"/>
              </w:rPr>
              <w:t>4</w:t>
            </w:r>
          </w:p>
        </w:tc>
        <w:tc>
          <w:tcPr>
            <w:tcW w:w="900" w:type="dxa"/>
            <w:tcBorders>
              <w:top w:val="nil"/>
              <w:left w:val="nil"/>
              <w:bottom w:val="single" w:sz="4" w:space="0" w:color="auto"/>
              <w:right w:val="single" w:sz="4" w:space="0" w:color="auto"/>
            </w:tcBorders>
            <w:shd w:val="clear" w:color="auto" w:fill="FFFFFF"/>
            <w:noWrap/>
            <w:vAlign w:val="center"/>
          </w:tcPr>
          <w:p w:rsidR="00253B32" w:rsidRPr="000E670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109.24</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A61839" w:rsidRDefault="00253B32" w:rsidP="00941A8C">
            <w:pPr>
              <w:spacing w:before="0"/>
              <w:ind w:firstLine="0"/>
              <w:jc w:val="center"/>
              <w:rPr>
                <w:rFonts w:ascii="Tahoma" w:hAnsi="Tahoma" w:cs="Tahoma"/>
                <w:sz w:val="20"/>
                <w:szCs w:val="20"/>
                <w:lang w:val="sr-Latn-CS"/>
              </w:rPr>
            </w:pPr>
            <w:r>
              <w:rPr>
                <w:rFonts w:ascii="Tahoma" w:hAnsi="Tahoma" w:cs="Tahoma"/>
                <w:sz w:val="20"/>
                <w:szCs w:val="20"/>
                <w:lang w:val="sr-Latn-CS"/>
              </w:rPr>
              <w:lastRenderedPageBreak/>
              <w:t>II</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РАСХОДИ</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41,817,000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3</w:t>
            </w:r>
            <w:r>
              <w:rPr>
                <w:rFonts w:ascii="Tahoma" w:hAnsi="Tahoma" w:cs="Tahoma"/>
                <w:sz w:val="20"/>
                <w:szCs w:val="20"/>
                <w:lang w:val="sr-Cyrl-CS"/>
              </w:rPr>
              <w:t>8</w:t>
            </w:r>
            <w:r w:rsidRPr="00403FCE">
              <w:rPr>
                <w:rFonts w:ascii="Tahoma" w:hAnsi="Tahoma" w:cs="Tahoma"/>
                <w:sz w:val="20"/>
                <w:szCs w:val="20"/>
                <w:lang w:val="sr-Cyrl-CS"/>
              </w:rPr>
              <w:t>.9</w:t>
            </w:r>
            <w:r>
              <w:rPr>
                <w:rFonts w:ascii="Tahoma" w:hAnsi="Tahoma" w:cs="Tahoma"/>
                <w:sz w:val="20"/>
                <w:szCs w:val="20"/>
                <w:lang w:val="sr-Cyrl-CS"/>
              </w:rPr>
              <w:t>38</w:t>
            </w:r>
            <w:r w:rsidRPr="00403FCE">
              <w:rPr>
                <w:rFonts w:ascii="Tahoma" w:hAnsi="Tahoma" w:cs="Tahoma"/>
                <w:sz w:val="20"/>
                <w:szCs w:val="20"/>
                <w:lang w:val="sr-Cyrl-CS"/>
              </w:rPr>
              <w:t>.</w:t>
            </w:r>
            <w:r>
              <w:rPr>
                <w:rFonts w:ascii="Tahoma" w:hAnsi="Tahoma" w:cs="Tahoma"/>
                <w:sz w:val="20"/>
                <w:szCs w:val="20"/>
                <w:lang w:val="sr-Cyrl-CS"/>
              </w:rPr>
              <w:t>7</w:t>
            </w:r>
            <w:r w:rsidRPr="00403FCE">
              <w:rPr>
                <w:rFonts w:ascii="Tahoma" w:hAnsi="Tahoma" w:cs="Tahoma"/>
                <w:sz w:val="20"/>
                <w:szCs w:val="20"/>
                <w:lang w:val="sr-Cyrl-CS"/>
              </w:rPr>
              <w:t>13</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sidRPr="00403FCE">
              <w:rPr>
                <w:rFonts w:ascii="Tahoma" w:hAnsi="Tahoma" w:cs="Tahoma"/>
                <w:bCs/>
                <w:sz w:val="20"/>
                <w:szCs w:val="20"/>
                <w:lang w:val="sr-Cyrl-CS"/>
              </w:rPr>
              <w:t>9</w:t>
            </w:r>
            <w:r>
              <w:rPr>
                <w:rFonts w:ascii="Tahoma" w:hAnsi="Tahoma" w:cs="Tahoma"/>
                <w:bCs/>
                <w:sz w:val="20"/>
                <w:szCs w:val="20"/>
                <w:lang w:val="sr-Cyrl-CS"/>
              </w:rPr>
              <w:t>3.12</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Pr>
                <w:rFonts w:ascii="Tahoma" w:hAnsi="Tahoma" w:cs="Tahoma"/>
                <w:sz w:val="20"/>
                <w:szCs w:val="20"/>
              </w:rPr>
              <w:t>511</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матер</w:t>
            </w:r>
            <w:proofErr w:type="spellEnd"/>
            <w:r>
              <w:rPr>
                <w:rFonts w:ascii="Tahoma" w:hAnsi="Tahoma" w:cs="Tahoma"/>
                <w:sz w:val="20"/>
                <w:szCs w:val="20"/>
                <w:lang w:val="sr-Cyrl-CS"/>
              </w:rPr>
              <w:t>.</w:t>
            </w:r>
            <w:r w:rsidRPr="00E555D8">
              <w:rPr>
                <w:rFonts w:ascii="Tahoma" w:hAnsi="Tahoma" w:cs="Tahoma"/>
                <w:sz w:val="20"/>
                <w:szCs w:val="20"/>
                <w:lang w:val="sr-Cyrl-CS"/>
              </w:rPr>
              <w:t xml:space="preserve"> и ситног инвен.</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500,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193</w:t>
            </w:r>
            <w:r w:rsidRPr="00403FCE">
              <w:rPr>
                <w:rFonts w:ascii="Tahoma" w:hAnsi="Tahoma" w:cs="Tahoma"/>
                <w:sz w:val="20"/>
                <w:szCs w:val="20"/>
                <w:lang w:val="sr-Cyrl-CS"/>
              </w:rPr>
              <w:t>,</w:t>
            </w:r>
            <w:r>
              <w:rPr>
                <w:rFonts w:ascii="Tahoma" w:hAnsi="Tahoma" w:cs="Tahoma"/>
                <w:sz w:val="20"/>
                <w:szCs w:val="20"/>
                <w:lang w:val="sr-Cyrl-CS"/>
              </w:rPr>
              <w:t>529</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3</w:t>
            </w:r>
            <w:r w:rsidRPr="00403FCE">
              <w:rPr>
                <w:rFonts w:ascii="Tahoma" w:hAnsi="Tahoma" w:cs="Tahoma"/>
                <w:bCs/>
                <w:sz w:val="20"/>
                <w:szCs w:val="20"/>
                <w:lang w:val="sr-Cyrl-CS"/>
              </w:rPr>
              <w:t>8</w:t>
            </w:r>
            <w:r>
              <w:rPr>
                <w:rFonts w:ascii="Tahoma" w:hAnsi="Tahoma" w:cs="Tahoma"/>
                <w:bCs/>
                <w:sz w:val="20"/>
                <w:szCs w:val="20"/>
                <w:lang w:val="sr-Cyrl-CS"/>
              </w:rPr>
              <w:t>.71</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2</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513</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горива</w:t>
            </w:r>
            <w:proofErr w:type="spellEnd"/>
            <w:r w:rsidRPr="00E555D8">
              <w:rPr>
                <w:rFonts w:ascii="Tahoma" w:hAnsi="Tahoma" w:cs="Tahoma"/>
                <w:sz w:val="20"/>
                <w:szCs w:val="20"/>
              </w:rPr>
              <w:t xml:space="preserve"> и </w:t>
            </w:r>
            <w:proofErr w:type="spellStart"/>
            <w:r w:rsidRPr="00E555D8">
              <w:rPr>
                <w:rFonts w:ascii="Tahoma" w:hAnsi="Tahoma" w:cs="Tahoma"/>
                <w:sz w:val="20"/>
                <w:szCs w:val="20"/>
              </w:rPr>
              <w:t>енергије</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1,600,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1,</w:t>
            </w:r>
            <w:r>
              <w:rPr>
                <w:rFonts w:ascii="Tahoma" w:hAnsi="Tahoma" w:cs="Tahoma"/>
                <w:sz w:val="20"/>
                <w:szCs w:val="20"/>
                <w:lang w:val="sr-Cyrl-CS"/>
              </w:rPr>
              <w:t>35</w:t>
            </w:r>
            <w:r w:rsidRPr="00403FCE">
              <w:rPr>
                <w:rFonts w:ascii="Tahoma" w:hAnsi="Tahoma" w:cs="Tahoma"/>
                <w:sz w:val="20"/>
                <w:szCs w:val="20"/>
                <w:lang w:val="sr-Cyrl-CS"/>
              </w:rPr>
              <w:t>1,</w:t>
            </w:r>
            <w:r>
              <w:rPr>
                <w:rFonts w:ascii="Tahoma" w:hAnsi="Tahoma" w:cs="Tahoma"/>
                <w:sz w:val="20"/>
                <w:szCs w:val="20"/>
                <w:lang w:val="sr-Cyrl-CS"/>
              </w:rPr>
              <w:t>069</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84.44</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3</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520</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w:t>
            </w:r>
            <w:proofErr w:type="spellEnd"/>
            <w:r w:rsidRPr="00E555D8">
              <w:rPr>
                <w:rFonts w:ascii="Tahoma" w:hAnsi="Tahoma" w:cs="Tahoma"/>
                <w:sz w:val="20"/>
                <w:szCs w:val="20"/>
                <w:lang w:val="sr-Cyrl-CS"/>
              </w:rPr>
              <w:t>.</w:t>
            </w:r>
            <w:r w:rsidRPr="00E555D8">
              <w:rPr>
                <w:rFonts w:ascii="Tahoma" w:hAnsi="Tahoma" w:cs="Tahoma"/>
                <w:sz w:val="20"/>
                <w:szCs w:val="20"/>
              </w:rPr>
              <w:t xml:space="preserve"> </w:t>
            </w:r>
            <w:proofErr w:type="spellStart"/>
            <w:r w:rsidRPr="00E555D8">
              <w:rPr>
                <w:rFonts w:ascii="Tahoma" w:hAnsi="Tahoma" w:cs="Tahoma"/>
                <w:sz w:val="20"/>
                <w:szCs w:val="20"/>
              </w:rPr>
              <w:t>зарада</w:t>
            </w:r>
            <w:proofErr w:type="spellEnd"/>
            <w:r w:rsidRPr="00E555D8">
              <w:rPr>
                <w:rFonts w:ascii="Tahoma" w:hAnsi="Tahoma" w:cs="Tahoma"/>
                <w:sz w:val="20"/>
                <w:szCs w:val="20"/>
              </w:rPr>
              <w:t xml:space="preserve"> и </w:t>
            </w:r>
            <w:proofErr w:type="spellStart"/>
            <w:r w:rsidRPr="00E555D8">
              <w:rPr>
                <w:rFonts w:ascii="Tahoma" w:hAnsi="Tahoma" w:cs="Tahoma"/>
                <w:sz w:val="20"/>
                <w:szCs w:val="20"/>
              </w:rPr>
              <w:t>нак</w:t>
            </w:r>
            <w:proofErr w:type="spellEnd"/>
            <w:r w:rsidRPr="00E555D8">
              <w:rPr>
                <w:rFonts w:ascii="Tahoma" w:hAnsi="Tahoma" w:cs="Tahoma"/>
                <w:sz w:val="20"/>
                <w:szCs w:val="20"/>
                <w:lang w:val="sr-Cyrl-CS"/>
              </w:rPr>
              <w:t>.</w:t>
            </w:r>
            <w:r w:rsidRPr="00E555D8">
              <w:rPr>
                <w:rFonts w:ascii="Tahoma" w:hAnsi="Tahoma" w:cs="Tahoma"/>
                <w:sz w:val="20"/>
                <w:szCs w:val="20"/>
              </w:rPr>
              <w:t xml:space="preserve"> </w:t>
            </w:r>
            <w:proofErr w:type="spellStart"/>
            <w:r w:rsidRPr="00E555D8">
              <w:rPr>
                <w:rFonts w:ascii="Tahoma" w:hAnsi="Tahoma" w:cs="Tahoma"/>
                <w:sz w:val="20"/>
                <w:szCs w:val="20"/>
              </w:rPr>
              <w:t>зарада</w:t>
            </w:r>
            <w:proofErr w:type="spellEnd"/>
            <w:r w:rsidRPr="00E555D8">
              <w:rPr>
                <w:rFonts w:ascii="Tahoma" w:hAnsi="Tahoma" w:cs="Tahoma"/>
                <w:sz w:val="20"/>
                <w:szCs w:val="20"/>
              </w:rPr>
              <w:t xml:space="preserve"> - </w:t>
            </w:r>
            <w:proofErr w:type="spellStart"/>
            <w:r w:rsidRPr="00E555D8">
              <w:rPr>
                <w:rFonts w:ascii="Tahoma" w:hAnsi="Tahoma" w:cs="Tahoma"/>
                <w:sz w:val="20"/>
                <w:szCs w:val="20"/>
              </w:rPr>
              <w:t>бруто</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20,075,90</w:t>
            </w:r>
            <w:r w:rsidRPr="00403FCE">
              <w:rPr>
                <w:rFonts w:ascii="Tahoma" w:hAnsi="Tahoma" w:cs="Tahoma"/>
                <w:sz w:val="20"/>
                <w:szCs w:val="20"/>
                <w:lang w:val="sr-Cyrl-CS"/>
              </w:rPr>
              <w:t>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19,</w:t>
            </w:r>
            <w:r>
              <w:rPr>
                <w:rFonts w:ascii="Tahoma" w:hAnsi="Tahoma" w:cs="Tahoma"/>
                <w:sz w:val="20"/>
                <w:szCs w:val="20"/>
                <w:lang w:val="sr-Cyrl-CS"/>
              </w:rPr>
              <w:t>9</w:t>
            </w:r>
            <w:r w:rsidRPr="00403FCE">
              <w:rPr>
                <w:rFonts w:ascii="Tahoma" w:hAnsi="Tahoma" w:cs="Tahoma"/>
                <w:sz w:val="20"/>
                <w:szCs w:val="20"/>
                <w:lang w:val="sr-Cyrl-CS"/>
              </w:rPr>
              <w:t>8</w:t>
            </w:r>
            <w:r>
              <w:rPr>
                <w:rFonts w:ascii="Tahoma" w:hAnsi="Tahoma" w:cs="Tahoma"/>
                <w:sz w:val="20"/>
                <w:szCs w:val="20"/>
                <w:lang w:val="sr-Cyrl-CS"/>
              </w:rPr>
              <w:t>3</w:t>
            </w:r>
            <w:r w:rsidRPr="00403FCE">
              <w:rPr>
                <w:rFonts w:ascii="Tahoma" w:hAnsi="Tahoma" w:cs="Tahoma"/>
                <w:sz w:val="20"/>
                <w:szCs w:val="20"/>
                <w:lang w:val="sr-Cyrl-CS"/>
              </w:rPr>
              <w:t>,</w:t>
            </w:r>
            <w:r>
              <w:rPr>
                <w:rFonts w:ascii="Tahoma" w:hAnsi="Tahoma" w:cs="Tahoma"/>
                <w:sz w:val="20"/>
                <w:szCs w:val="20"/>
                <w:lang w:val="sr-Cyrl-CS"/>
              </w:rPr>
              <w:t>094</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99.54</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4</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521</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Доприноси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на</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терет</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послодавца</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3</w:t>
            </w:r>
            <w:r>
              <w:rPr>
                <w:rFonts w:ascii="Tahoma" w:hAnsi="Tahoma" w:cs="Tahoma"/>
                <w:sz w:val="20"/>
                <w:szCs w:val="20"/>
                <w:lang w:val="sr-Cyrl-CS"/>
              </w:rPr>
              <w:t>,</w:t>
            </w:r>
            <w:r w:rsidRPr="00403FCE">
              <w:rPr>
                <w:rFonts w:ascii="Tahoma" w:hAnsi="Tahoma" w:cs="Tahoma"/>
                <w:sz w:val="20"/>
                <w:szCs w:val="20"/>
                <w:lang w:val="sr-Cyrl-CS"/>
              </w:rPr>
              <w:t>5</w:t>
            </w:r>
            <w:r>
              <w:rPr>
                <w:rFonts w:ascii="Tahoma" w:hAnsi="Tahoma" w:cs="Tahoma"/>
                <w:sz w:val="20"/>
                <w:szCs w:val="20"/>
                <w:lang w:val="sr-Cyrl-CS"/>
              </w:rPr>
              <w:t>71,</w:t>
            </w:r>
            <w:r w:rsidRPr="00403FCE">
              <w:rPr>
                <w:rFonts w:ascii="Tahoma" w:hAnsi="Tahoma" w:cs="Tahoma"/>
                <w:sz w:val="20"/>
                <w:szCs w:val="20"/>
                <w:lang w:val="sr-Cyrl-CS"/>
              </w:rPr>
              <w:t>1</w:t>
            </w:r>
            <w:r>
              <w:rPr>
                <w:rFonts w:ascii="Tahoma" w:hAnsi="Tahoma" w:cs="Tahoma"/>
                <w:sz w:val="20"/>
                <w:szCs w:val="20"/>
                <w:lang w:val="sr-Cyrl-CS"/>
              </w:rPr>
              <w:t>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3,5</w:t>
            </w:r>
            <w:r>
              <w:rPr>
                <w:rFonts w:ascii="Tahoma" w:hAnsi="Tahoma" w:cs="Tahoma"/>
                <w:sz w:val="20"/>
                <w:szCs w:val="20"/>
                <w:lang w:val="sr-Cyrl-CS"/>
              </w:rPr>
              <w:t>45</w:t>
            </w:r>
            <w:r w:rsidRPr="00403FCE">
              <w:rPr>
                <w:rFonts w:ascii="Tahoma" w:hAnsi="Tahoma" w:cs="Tahoma"/>
                <w:sz w:val="20"/>
                <w:szCs w:val="20"/>
                <w:lang w:val="sr-Cyrl-CS"/>
              </w:rPr>
              <w:t>,</w:t>
            </w:r>
            <w:r>
              <w:rPr>
                <w:rFonts w:ascii="Tahoma" w:hAnsi="Tahoma" w:cs="Tahoma"/>
                <w:sz w:val="20"/>
                <w:szCs w:val="20"/>
                <w:lang w:val="sr-Cyrl-CS"/>
              </w:rPr>
              <w:t>136</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sidRPr="00403FCE">
              <w:rPr>
                <w:rFonts w:ascii="Tahoma" w:hAnsi="Tahoma" w:cs="Tahoma"/>
                <w:bCs/>
                <w:sz w:val="20"/>
                <w:szCs w:val="20"/>
                <w:lang w:val="sr-Cyrl-CS"/>
              </w:rPr>
              <w:t>99</w:t>
            </w:r>
            <w:r>
              <w:rPr>
                <w:rFonts w:ascii="Tahoma" w:hAnsi="Tahoma" w:cs="Tahoma"/>
                <w:bCs/>
                <w:sz w:val="20"/>
                <w:szCs w:val="20"/>
                <w:lang w:val="sr-Cyrl-CS"/>
              </w:rPr>
              <w:t>.27</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522</w:t>
            </w:r>
            <w:r w:rsidRPr="00E555D8">
              <w:rPr>
                <w:rFonts w:ascii="Tahoma" w:hAnsi="Tahoma" w:cs="Tahoma"/>
                <w:sz w:val="20"/>
                <w:szCs w:val="20"/>
                <w:lang w:val="sr-Cyrl-CS"/>
              </w:rPr>
              <w:t>,525</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Накнаде по уговору о делу</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100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0.00</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6</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523</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Накнаде</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по</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ауторским</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уговорима</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900,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852</w:t>
            </w:r>
            <w:r w:rsidRPr="00403FCE">
              <w:rPr>
                <w:rFonts w:ascii="Tahoma" w:hAnsi="Tahoma" w:cs="Tahoma"/>
                <w:sz w:val="20"/>
                <w:szCs w:val="20"/>
                <w:lang w:val="sr-Cyrl-CS"/>
              </w:rPr>
              <w:t>,</w:t>
            </w:r>
            <w:r>
              <w:rPr>
                <w:rFonts w:ascii="Tahoma" w:hAnsi="Tahoma" w:cs="Tahoma"/>
                <w:sz w:val="20"/>
                <w:szCs w:val="20"/>
                <w:lang w:val="sr-Cyrl-CS"/>
              </w:rPr>
              <w:t>041</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sidRPr="00403FCE">
              <w:rPr>
                <w:rFonts w:ascii="Tahoma" w:hAnsi="Tahoma" w:cs="Tahoma"/>
                <w:bCs/>
                <w:sz w:val="20"/>
                <w:szCs w:val="20"/>
                <w:lang w:val="sr-Cyrl-CS"/>
              </w:rPr>
              <w:t>9</w:t>
            </w:r>
            <w:r>
              <w:rPr>
                <w:rFonts w:ascii="Tahoma" w:hAnsi="Tahoma" w:cs="Tahoma"/>
                <w:bCs/>
                <w:sz w:val="20"/>
                <w:szCs w:val="20"/>
                <w:lang w:val="sr-Cyrl-CS"/>
              </w:rPr>
              <w:t>4.67</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7</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524</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proofErr w:type="spellStart"/>
            <w:r w:rsidRPr="00E555D8">
              <w:rPr>
                <w:rFonts w:ascii="Tahoma" w:hAnsi="Tahoma" w:cs="Tahoma"/>
                <w:sz w:val="20"/>
                <w:szCs w:val="20"/>
              </w:rPr>
              <w:t>Накнаде</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по</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угов</w:t>
            </w:r>
            <w:proofErr w:type="spellEnd"/>
            <w:r w:rsidRPr="00E555D8">
              <w:rPr>
                <w:rFonts w:ascii="Tahoma" w:hAnsi="Tahoma" w:cs="Tahoma"/>
                <w:sz w:val="20"/>
                <w:szCs w:val="20"/>
              </w:rPr>
              <w:t xml:space="preserve">. </w:t>
            </w:r>
            <w:proofErr w:type="gramStart"/>
            <w:r w:rsidRPr="00E555D8">
              <w:rPr>
                <w:rFonts w:ascii="Tahoma" w:hAnsi="Tahoma" w:cs="Tahoma"/>
                <w:sz w:val="20"/>
                <w:szCs w:val="20"/>
              </w:rPr>
              <w:t>о</w:t>
            </w:r>
            <w:proofErr w:type="gramEnd"/>
            <w:r w:rsidRPr="00E555D8">
              <w:rPr>
                <w:rFonts w:ascii="Tahoma" w:hAnsi="Tahoma" w:cs="Tahoma"/>
                <w:sz w:val="20"/>
                <w:szCs w:val="20"/>
              </w:rPr>
              <w:t xml:space="preserve"> </w:t>
            </w:r>
            <w:proofErr w:type="spellStart"/>
            <w:r w:rsidRPr="00E555D8">
              <w:rPr>
                <w:rFonts w:ascii="Tahoma" w:hAnsi="Tahoma" w:cs="Tahoma"/>
                <w:sz w:val="20"/>
                <w:szCs w:val="20"/>
              </w:rPr>
              <w:t>привр</w:t>
            </w:r>
            <w:proofErr w:type="spellEnd"/>
            <w:r w:rsidRPr="00E555D8">
              <w:rPr>
                <w:rFonts w:ascii="Tahoma" w:hAnsi="Tahoma" w:cs="Tahoma"/>
                <w:sz w:val="20"/>
                <w:szCs w:val="20"/>
              </w:rPr>
              <w:t>.</w:t>
            </w:r>
            <w:r w:rsidRPr="00E555D8">
              <w:rPr>
                <w:rFonts w:ascii="Tahoma" w:hAnsi="Tahoma" w:cs="Tahoma"/>
                <w:sz w:val="20"/>
                <w:szCs w:val="20"/>
                <w:lang w:val="sr-Cyrl-CS"/>
              </w:rPr>
              <w:t xml:space="preserve"> </w:t>
            </w:r>
            <w:proofErr w:type="spellStart"/>
            <w:proofErr w:type="gramStart"/>
            <w:r w:rsidRPr="00E555D8">
              <w:rPr>
                <w:rFonts w:ascii="Tahoma" w:hAnsi="Tahoma" w:cs="Tahoma"/>
                <w:sz w:val="20"/>
                <w:szCs w:val="20"/>
              </w:rPr>
              <w:t>послов</w:t>
            </w:r>
            <w:proofErr w:type="spellEnd"/>
            <w:proofErr w:type="gramEnd"/>
            <w:r w:rsidRPr="00E555D8">
              <w:rPr>
                <w:rFonts w:ascii="Tahoma" w:hAnsi="Tahoma" w:cs="Tahoma"/>
                <w:sz w:val="20"/>
                <w:szCs w:val="20"/>
                <w:lang w:val="sr-Cyrl-CS"/>
              </w:rPr>
              <w:t>.</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100,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sidRPr="00403FCE">
              <w:rPr>
                <w:rFonts w:ascii="Tahoma" w:hAnsi="Tahoma" w:cs="Tahoma"/>
                <w:bCs/>
                <w:sz w:val="20"/>
                <w:szCs w:val="20"/>
                <w:lang w:val="sr-Cyrl-CS"/>
              </w:rPr>
              <w:t>0</w:t>
            </w:r>
            <w:r>
              <w:rPr>
                <w:rFonts w:ascii="Tahoma" w:hAnsi="Tahoma" w:cs="Tahoma"/>
                <w:bCs/>
                <w:sz w:val="20"/>
                <w:szCs w:val="20"/>
                <w:lang w:val="sr-Cyrl-CS"/>
              </w:rPr>
              <w:t>.00</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8</w:t>
            </w:r>
          </w:p>
        </w:tc>
        <w:tc>
          <w:tcPr>
            <w:tcW w:w="171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center"/>
              <w:rPr>
                <w:rFonts w:ascii="Tahoma" w:hAnsi="Tahoma" w:cs="Tahoma"/>
                <w:sz w:val="20"/>
                <w:szCs w:val="20"/>
                <w:lang w:val="sr-Cyrl-CS"/>
              </w:rPr>
            </w:pPr>
            <w:r>
              <w:rPr>
                <w:rFonts w:ascii="Tahoma" w:hAnsi="Tahoma" w:cs="Tahoma"/>
                <w:sz w:val="20"/>
                <w:szCs w:val="20"/>
              </w:rPr>
              <w:t>529</w:t>
            </w:r>
            <w:r>
              <w:rPr>
                <w:rFonts w:ascii="Tahoma" w:hAnsi="Tahoma" w:cs="Tahoma"/>
                <w:sz w:val="20"/>
                <w:szCs w:val="20"/>
                <w:lang w:val="sr-Cyrl-CS"/>
              </w:rPr>
              <w:t>-1</w:t>
            </w:r>
          </w:p>
        </w:tc>
        <w:tc>
          <w:tcPr>
            <w:tcW w:w="369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rPr>
              <w:t>T</w:t>
            </w:r>
            <w:r w:rsidRPr="00E555D8">
              <w:rPr>
                <w:rFonts w:ascii="Tahoma" w:hAnsi="Tahoma" w:cs="Tahoma"/>
                <w:sz w:val="20"/>
                <w:szCs w:val="20"/>
                <w:lang w:val="sr-Cyrl-CS"/>
              </w:rPr>
              <w:t xml:space="preserve">рошкови </w:t>
            </w:r>
            <w:r>
              <w:rPr>
                <w:rFonts w:ascii="Tahoma" w:hAnsi="Tahoma" w:cs="Tahoma"/>
                <w:sz w:val="20"/>
                <w:szCs w:val="20"/>
                <w:lang w:val="sr-Cyrl-CS"/>
              </w:rPr>
              <w:t>накнаде председ. УО</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44</w:t>
            </w:r>
            <w:r w:rsidRPr="00403FCE">
              <w:rPr>
                <w:rFonts w:ascii="Tahoma" w:hAnsi="Tahoma" w:cs="Tahoma"/>
                <w:sz w:val="20"/>
                <w:szCs w:val="20"/>
                <w:lang w:val="sr-Cyrl-CS"/>
              </w:rPr>
              <w:t>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CC5DB1" w:rsidRDefault="00253B32" w:rsidP="00941A8C">
            <w:pPr>
              <w:spacing w:before="0"/>
              <w:ind w:firstLine="0"/>
              <w:jc w:val="right"/>
              <w:rPr>
                <w:rFonts w:ascii="Tahoma" w:hAnsi="Tahoma" w:cs="Tahoma"/>
                <w:sz w:val="20"/>
                <w:szCs w:val="20"/>
              </w:rPr>
            </w:pPr>
            <w:r w:rsidRPr="00CC5DB1">
              <w:rPr>
                <w:rFonts w:ascii="Tahoma" w:hAnsi="Tahoma" w:cs="Tahoma"/>
                <w:sz w:val="20"/>
                <w:szCs w:val="20"/>
              </w:rPr>
              <w:t>657</w:t>
            </w:r>
            <w:r w:rsidRPr="00CC5DB1">
              <w:rPr>
                <w:rFonts w:ascii="Tahoma" w:hAnsi="Tahoma" w:cs="Tahoma"/>
                <w:sz w:val="20"/>
                <w:szCs w:val="20"/>
                <w:lang w:val="sr-Cyrl-CS"/>
              </w:rPr>
              <w:t>,</w:t>
            </w:r>
            <w:r w:rsidRPr="00CC5DB1">
              <w:rPr>
                <w:rFonts w:ascii="Tahoma" w:hAnsi="Tahoma" w:cs="Tahoma"/>
                <w:sz w:val="20"/>
                <w:szCs w:val="20"/>
              </w:rPr>
              <w:t>01</w:t>
            </w:r>
            <w:r>
              <w:rPr>
                <w:rFonts w:ascii="Tahoma" w:hAnsi="Tahoma" w:cs="Tahoma"/>
                <w:sz w:val="20"/>
                <w:szCs w:val="20"/>
              </w:rPr>
              <w:t>8</w:t>
            </w:r>
          </w:p>
        </w:tc>
        <w:tc>
          <w:tcPr>
            <w:tcW w:w="900" w:type="dxa"/>
            <w:tcBorders>
              <w:top w:val="nil"/>
              <w:left w:val="nil"/>
              <w:bottom w:val="single" w:sz="4" w:space="0" w:color="auto"/>
              <w:right w:val="single" w:sz="4" w:space="0" w:color="auto"/>
            </w:tcBorders>
            <w:shd w:val="clear" w:color="auto" w:fill="FFFFFF"/>
            <w:noWrap/>
            <w:vAlign w:val="center"/>
          </w:tcPr>
          <w:p w:rsidR="00253B32" w:rsidRPr="004918FA" w:rsidRDefault="00253B32" w:rsidP="00941A8C">
            <w:pPr>
              <w:spacing w:before="0"/>
              <w:ind w:firstLine="0"/>
              <w:jc w:val="right"/>
              <w:rPr>
                <w:rFonts w:ascii="Tahoma" w:hAnsi="Tahoma" w:cs="Tahoma"/>
                <w:bCs/>
                <w:sz w:val="20"/>
                <w:szCs w:val="20"/>
              </w:rPr>
            </w:pPr>
            <w:r>
              <w:rPr>
                <w:rFonts w:ascii="Tahoma" w:hAnsi="Tahoma" w:cs="Tahoma"/>
                <w:bCs/>
                <w:sz w:val="20"/>
                <w:szCs w:val="20"/>
                <w:lang w:val="sr-Cyrl-CS"/>
              </w:rPr>
              <w:t>1</w:t>
            </w:r>
            <w:r>
              <w:rPr>
                <w:rFonts w:ascii="Tahoma" w:hAnsi="Tahoma" w:cs="Tahoma"/>
                <w:bCs/>
                <w:sz w:val="20"/>
                <w:szCs w:val="20"/>
              </w:rPr>
              <w:t>49</w:t>
            </w:r>
            <w:r>
              <w:rPr>
                <w:rFonts w:ascii="Tahoma" w:hAnsi="Tahoma" w:cs="Tahoma"/>
                <w:bCs/>
                <w:sz w:val="20"/>
                <w:szCs w:val="20"/>
                <w:lang w:val="sr-Cyrl-CS"/>
              </w:rPr>
              <w:t>.</w:t>
            </w:r>
            <w:r>
              <w:rPr>
                <w:rFonts w:ascii="Tahoma" w:hAnsi="Tahoma" w:cs="Tahoma"/>
                <w:bCs/>
                <w:sz w:val="20"/>
                <w:szCs w:val="20"/>
              </w:rPr>
              <w:t>32</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8-1</w:t>
            </w:r>
          </w:p>
        </w:tc>
        <w:tc>
          <w:tcPr>
            <w:tcW w:w="171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529-2</w:t>
            </w:r>
          </w:p>
        </w:tc>
        <w:tc>
          <w:tcPr>
            <w:tcW w:w="369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накнаде зам.председ. УО</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260,000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347,934</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133.82</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9</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529</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Остали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лични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расходи</w:t>
            </w:r>
            <w:proofErr w:type="spellEnd"/>
            <w:r w:rsidRPr="00E555D8">
              <w:rPr>
                <w:rFonts w:ascii="Tahoma" w:hAnsi="Tahoma" w:cs="Tahoma"/>
                <w:sz w:val="20"/>
                <w:szCs w:val="20"/>
              </w:rPr>
              <w:t xml:space="preserve"> и </w:t>
            </w:r>
            <w:proofErr w:type="spellStart"/>
            <w:r w:rsidRPr="00E555D8">
              <w:rPr>
                <w:rFonts w:ascii="Tahoma" w:hAnsi="Tahoma" w:cs="Tahoma"/>
                <w:sz w:val="20"/>
                <w:szCs w:val="20"/>
              </w:rPr>
              <w:t>накнаде</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3</w:t>
            </w:r>
            <w:r>
              <w:rPr>
                <w:rFonts w:ascii="Tahoma" w:hAnsi="Tahoma" w:cs="Tahoma"/>
                <w:sz w:val="20"/>
                <w:szCs w:val="20"/>
                <w:lang w:val="sr-Cyrl-CS"/>
              </w:rPr>
              <w:t>,00</w:t>
            </w:r>
            <w:r w:rsidRPr="00403FCE">
              <w:rPr>
                <w:rFonts w:ascii="Tahoma" w:hAnsi="Tahoma" w:cs="Tahoma"/>
                <w:sz w:val="20"/>
                <w:szCs w:val="20"/>
                <w:lang w:val="sr-Cyrl-CS"/>
              </w:rPr>
              <w:t>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CC5DB1" w:rsidRDefault="00253B32" w:rsidP="00941A8C">
            <w:pPr>
              <w:spacing w:before="0"/>
              <w:ind w:firstLine="0"/>
              <w:jc w:val="right"/>
              <w:rPr>
                <w:rFonts w:ascii="Tahoma" w:hAnsi="Tahoma" w:cs="Tahoma"/>
                <w:sz w:val="20"/>
                <w:szCs w:val="20"/>
                <w:lang w:val="sr-Cyrl-CS"/>
              </w:rPr>
            </w:pPr>
            <w:r w:rsidRPr="00CC5DB1">
              <w:rPr>
                <w:rFonts w:ascii="Tahoma" w:hAnsi="Tahoma" w:cs="Tahoma"/>
                <w:sz w:val="20"/>
                <w:szCs w:val="20"/>
                <w:lang w:val="sr-Cyrl-CS"/>
              </w:rPr>
              <w:t>1,</w:t>
            </w:r>
            <w:r w:rsidRPr="00CC5DB1">
              <w:rPr>
                <w:rFonts w:ascii="Tahoma" w:hAnsi="Tahoma" w:cs="Tahoma"/>
                <w:sz w:val="20"/>
                <w:szCs w:val="20"/>
              </w:rPr>
              <w:t>640</w:t>
            </w:r>
            <w:r w:rsidRPr="00CC5DB1">
              <w:rPr>
                <w:rFonts w:ascii="Tahoma" w:hAnsi="Tahoma" w:cs="Tahoma"/>
                <w:sz w:val="20"/>
                <w:szCs w:val="20"/>
                <w:lang w:val="sr-Cyrl-CS"/>
              </w:rPr>
              <w:t>,</w:t>
            </w:r>
            <w:r w:rsidRPr="00CC5DB1">
              <w:rPr>
                <w:rFonts w:ascii="Tahoma" w:hAnsi="Tahoma" w:cs="Tahoma"/>
                <w:sz w:val="20"/>
                <w:szCs w:val="20"/>
              </w:rPr>
              <w:t>502</w:t>
            </w:r>
          </w:p>
        </w:tc>
        <w:tc>
          <w:tcPr>
            <w:tcW w:w="900" w:type="dxa"/>
            <w:tcBorders>
              <w:top w:val="nil"/>
              <w:left w:val="nil"/>
              <w:bottom w:val="single" w:sz="4" w:space="0" w:color="auto"/>
              <w:right w:val="single" w:sz="4" w:space="0" w:color="auto"/>
            </w:tcBorders>
            <w:shd w:val="clear" w:color="auto" w:fill="FFFFFF"/>
            <w:noWrap/>
            <w:vAlign w:val="center"/>
          </w:tcPr>
          <w:p w:rsidR="00253B32" w:rsidRPr="004918FA" w:rsidRDefault="00253B32" w:rsidP="00941A8C">
            <w:pPr>
              <w:spacing w:before="0"/>
              <w:ind w:firstLine="0"/>
              <w:jc w:val="right"/>
              <w:rPr>
                <w:rFonts w:ascii="Tahoma" w:hAnsi="Tahoma" w:cs="Tahoma"/>
                <w:bCs/>
                <w:sz w:val="20"/>
                <w:szCs w:val="20"/>
              </w:rPr>
            </w:pPr>
            <w:r>
              <w:rPr>
                <w:rFonts w:ascii="Tahoma" w:hAnsi="Tahoma" w:cs="Tahoma"/>
                <w:bCs/>
                <w:sz w:val="20"/>
                <w:szCs w:val="20"/>
              </w:rPr>
              <w:t>5</w:t>
            </w:r>
            <w:r>
              <w:rPr>
                <w:rFonts w:ascii="Tahoma" w:hAnsi="Tahoma" w:cs="Tahoma"/>
                <w:bCs/>
                <w:sz w:val="20"/>
                <w:szCs w:val="20"/>
                <w:lang w:val="sr-Cyrl-CS"/>
              </w:rPr>
              <w:t>4.</w:t>
            </w:r>
            <w:r>
              <w:rPr>
                <w:rFonts w:ascii="Tahoma" w:hAnsi="Tahoma" w:cs="Tahoma"/>
                <w:bCs/>
                <w:sz w:val="20"/>
                <w:szCs w:val="20"/>
              </w:rPr>
              <w:t>68</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10</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531</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w:t>
            </w:r>
            <w:proofErr w:type="spellEnd"/>
            <w:r w:rsidRPr="00E555D8">
              <w:rPr>
                <w:rFonts w:ascii="Tahoma" w:hAnsi="Tahoma" w:cs="Tahoma"/>
                <w:sz w:val="20"/>
                <w:szCs w:val="20"/>
                <w:lang w:val="sr-Cyrl-CS"/>
              </w:rPr>
              <w:t>.</w:t>
            </w:r>
            <w:r w:rsidRPr="00E555D8">
              <w:rPr>
                <w:rFonts w:ascii="Tahoma" w:hAnsi="Tahoma" w:cs="Tahoma"/>
                <w:sz w:val="20"/>
                <w:szCs w:val="20"/>
              </w:rPr>
              <w:t xml:space="preserve"> </w:t>
            </w:r>
            <w:proofErr w:type="spellStart"/>
            <w:r w:rsidRPr="00E555D8">
              <w:rPr>
                <w:rFonts w:ascii="Tahoma" w:hAnsi="Tahoma" w:cs="Tahoma"/>
                <w:sz w:val="20"/>
                <w:szCs w:val="20"/>
              </w:rPr>
              <w:t>Транспортних</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услуга</w:t>
            </w:r>
            <w:proofErr w:type="spellEnd"/>
            <w:r w:rsidRPr="00E555D8">
              <w:rPr>
                <w:rFonts w:ascii="Tahoma" w:hAnsi="Tahoma" w:cs="Tahoma"/>
                <w:sz w:val="20"/>
                <w:szCs w:val="20"/>
              </w:rPr>
              <w:t xml:space="preserve"> и ПТТ </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700,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704</w:t>
            </w:r>
            <w:r w:rsidRPr="00403FCE">
              <w:rPr>
                <w:rFonts w:ascii="Tahoma" w:hAnsi="Tahoma" w:cs="Tahoma"/>
                <w:sz w:val="20"/>
                <w:szCs w:val="20"/>
                <w:lang w:val="sr-Cyrl-CS"/>
              </w:rPr>
              <w:t>,3</w:t>
            </w:r>
            <w:r>
              <w:rPr>
                <w:rFonts w:ascii="Tahoma" w:hAnsi="Tahoma" w:cs="Tahoma"/>
                <w:sz w:val="20"/>
                <w:szCs w:val="20"/>
                <w:lang w:val="sr-Cyrl-CS"/>
              </w:rPr>
              <w:t>33</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100.62</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1</w:t>
            </w:r>
            <w:r w:rsidRPr="00E555D8">
              <w:rPr>
                <w:rFonts w:ascii="Tahoma" w:hAnsi="Tahoma" w:cs="Tahoma"/>
                <w:sz w:val="20"/>
                <w:szCs w:val="20"/>
                <w:lang w:val="sr-Cyrl-CS"/>
              </w:rPr>
              <w:t>1</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532</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услуга</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одржавања</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1,000,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1,</w:t>
            </w:r>
            <w:r>
              <w:rPr>
                <w:rFonts w:ascii="Tahoma" w:hAnsi="Tahoma" w:cs="Tahoma"/>
                <w:sz w:val="20"/>
                <w:szCs w:val="20"/>
                <w:lang w:val="sr-Cyrl-CS"/>
              </w:rPr>
              <w:t>51</w:t>
            </w:r>
            <w:r w:rsidRPr="00403FCE">
              <w:rPr>
                <w:rFonts w:ascii="Tahoma" w:hAnsi="Tahoma" w:cs="Tahoma"/>
                <w:sz w:val="20"/>
                <w:szCs w:val="20"/>
                <w:lang w:val="sr-Cyrl-CS"/>
              </w:rPr>
              <w:t>7,</w:t>
            </w:r>
            <w:r>
              <w:rPr>
                <w:rFonts w:ascii="Tahoma" w:hAnsi="Tahoma" w:cs="Tahoma"/>
                <w:sz w:val="20"/>
                <w:szCs w:val="20"/>
                <w:lang w:val="sr-Cyrl-CS"/>
              </w:rPr>
              <w:t>339</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151.</w:t>
            </w:r>
            <w:r w:rsidRPr="00403FCE">
              <w:rPr>
                <w:rFonts w:ascii="Tahoma" w:hAnsi="Tahoma" w:cs="Tahoma"/>
                <w:bCs/>
                <w:sz w:val="20"/>
                <w:szCs w:val="20"/>
                <w:lang w:val="sr-Cyrl-CS"/>
              </w:rPr>
              <w:t>7</w:t>
            </w:r>
            <w:r>
              <w:rPr>
                <w:rFonts w:ascii="Tahoma" w:hAnsi="Tahoma" w:cs="Tahoma"/>
                <w:bCs/>
                <w:sz w:val="20"/>
                <w:szCs w:val="20"/>
                <w:lang w:val="sr-Cyrl-CS"/>
              </w:rPr>
              <w:t>3</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12</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533</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 xml:space="preserve">Трошкови закупа </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300,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0.0</w:t>
            </w:r>
            <w:r w:rsidRPr="00403FCE">
              <w:rPr>
                <w:rFonts w:ascii="Tahoma" w:hAnsi="Tahoma" w:cs="Tahoma"/>
                <w:bCs/>
                <w:sz w:val="20"/>
                <w:szCs w:val="20"/>
                <w:lang w:val="sr-Cyrl-CS"/>
              </w:rPr>
              <w:t>0</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13</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535, 539</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Трошкови производних услуга</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2,170,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1,5</w:t>
            </w:r>
            <w:r>
              <w:rPr>
                <w:rFonts w:ascii="Tahoma" w:hAnsi="Tahoma" w:cs="Tahoma"/>
                <w:sz w:val="20"/>
                <w:szCs w:val="20"/>
                <w:lang w:val="sr-Cyrl-CS"/>
              </w:rPr>
              <w:t>52</w:t>
            </w:r>
            <w:r w:rsidRPr="00403FCE">
              <w:rPr>
                <w:rFonts w:ascii="Tahoma" w:hAnsi="Tahoma" w:cs="Tahoma"/>
                <w:sz w:val="20"/>
                <w:szCs w:val="20"/>
                <w:lang w:val="sr-Cyrl-CS"/>
              </w:rPr>
              <w:t>,6</w:t>
            </w:r>
            <w:r>
              <w:rPr>
                <w:rFonts w:ascii="Tahoma" w:hAnsi="Tahoma" w:cs="Tahoma"/>
                <w:sz w:val="20"/>
                <w:szCs w:val="20"/>
                <w:lang w:val="sr-Cyrl-CS"/>
              </w:rPr>
              <w:t>30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71.55</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1</w:t>
            </w:r>
            <w:r w:rsidRPr="00E555D8">
              <w:rPr>
                <w:rFonts w:ascii="Tahoma" w:hAnsi="Tahoma" w:cs="Tahoma"/>
                <w:sz w:val="20"/>
                <w:szCs w:val="20"/>
                <w:lang w:val="sr-Cyrl-CS"/>
              </w:rPr>
              <w:t>4</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540</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амортизације</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2</w:t>
            </w:r>
            <w:r>
              <w:rPr>
                <w:rFonts w:ascii="Tahoma" w:hAnsi="Tahoma" w:cs="Tahoma"/>
                <w:sz w:val="20"/>
                <w:szCs w:val="20"/>
                <w:lang w:val="sr-Cyrl-CS"/>
              </w:rPr>
              <w:t>,9</w:t>
            </w:r>
            <w:r w:rsidRPr="00403FCE">
              <w:rPr>
                <w:rFonts w:ascii="Tahoma" w:hAnsi="Tahoma" w:cs="Tahoma"/>
                <w:sz w:val="20"/>
                <w:szCs w:val="20"/>
                <w:lang w:val="sr-Cyrl-CS"/>
              </w:rPr>
              <w:t>00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2,84</w:t>
            </w:r>
            <w:r>
              <w:rPr>
                <w:rFonts w:ascii="Tahoma" w:hAnsi="Tahoma" w:cs="Tahoma"/>
                <w:sz w:val="20"/>
                <w:szCs w:val="20"/>
                <w:lang w:val="sr-Cyrl-CS"/>
              </w:rPr>
              <w:t>3</w:t>
            </w:r>
            <w:r w:rsidRPr="00403FCE">
              <w:rPr>
                <w:rFonts w:ascii="Tahoma" w:hAnsi="Tahoma" w:cs="Tahoma"/>
                <w:sz w:val="20"/>
                <w:szCs w:val="20"/>
                <w:lang w:val="sr-Cyrl-CS"/>
              </w:rPr>
              <w:t>,</w:t>
            </w:r>
            <w:r>
              <w:rPr>
                <w:rFonts w:ascii="Tahoma" w:hAnsi="Tahoma" w:cs="Tahoma"/>
                <w:sz w:val="20"/>
                <w:szCs w:val="20"/>
                <w:lang w:val="sr-Cyrl-CS"/>
              </w:rPr>
              <w:t>51</w:t>
            </w:r>
            <w:r w:rsidRPr="00403FCE">
              <w:rPr>
                <w:rFonts w:ascii="Tahoma" w:hAnsi="Tahoma" w:cs="Tahoma"/>
                <w:sz w:val="20"/>
                <w:szCs w:val="20"/>
                <w:lang w:val="sr-Cyrl-CS"/>
              </w:rPr>
              <w:t>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98.0</w:t>
            </w:r>
            <w:r w:rsidRPr="00403FCE">
              <w:rPr>
                <w:rFonts w:ascii="Tahoma" w:hAnsi="Tahoma" w:cs="Tahoma"/>
                <w:bCs/>
                <w:sz w:val="20"/>
                <w:szCs w:val="20"/>
                <w:lang w:val="sr-Cyrl-CS"/>
              </w:rPr>
              <w:t>5</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15</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550</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непроизводних</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услуга</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1,05</w:t>
            </w:r>
            <w:r w:rsidRPr="00403FCE">
              <w:rPr>
                <w:rFonts w:ascii="Tahoma" w:hAnsi="Tahoma" w:cs="Tahoma"/>
                <w:sz w:val="20"/>
                <w:szCs w:val="20"/>
                <w:lang w:val="sr-Cyrl-CS"/>
              </w:rPr>
              <w:t>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748</w:t>
            </w:r>
            <w:r w:rsidRPr="00403FCE">
              <w:rPr>
                <w:rFonts w:ascii="Tahoma" w:hAnsi="Tahoma" w:cs="Tahoma"/>
                <w:sz w:val="20"/>
                <w:szCs w:val="20"/>
                <w:lang w:val="sr-Cyrl-CS"/>
              </w:rPr>
              <w:t>,</w:t>
            </w:r>
            <w:r>
              <w:rPr>
                <w:rFonts w:ascii="Tahoma" w:hAnsi="Tahoma" w:cs="Tahoma"/>
                <w:sz w:val="20"/>
                <w:szCs w:val="20"/>
                <w:lang w:val="sr-Cyrl-CS"/>
              </w:rPr>
              <w:t>427</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71.28</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16</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rPr>
              <w:t>551</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proofErr w:type="spellStart"/>
            <w:r w:rsidRPr="00E555D8">
              <w:rPr>
                <w:rFonts w:ascii="Tahoma" w:hAnsi="Tahoma" w:cs="Tahoma"/>
                <w:sz w:val="20"/>
                <w:szCs w:val="20"/>
              </w:rPr>
              <w:t>Трошкови</w:t>
            </w:r>
            <w:proofErr w:type="spellEnd"/>
            <w:r w:rsidRPr="00E555D8">
              <w:rPr>
                <w:rFonts w:ascii="Tahoma" w:hAnsi="Tahoma" w:cs="Tahoma"/>
                <w:sz w:val="20"/>
                <w:szCs w:val="20"/>
              </w:rPr>
              <w:t xml:space="preserve"> </w:t>
            </w:r>
            <w:proofErr w:type="spellStart"/>
            <w:r w:rsidRPr="00E555D8">
              <w:rPr>
                <w:rFonts w:ascii="Tahoma" w:hAnsi="Tahoma" w:cs="Tahoma"/>
                <w:sz w:val="20"/>
                <w:szCs w:val="20"/>
              </w:rPr>
              <w:t>репрезентације</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750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5</w:t>
            </w:r>
            <w:r>
              <w:rPr>
                <w:rFonts w:ascii="Tahoma" w:hAnsi="Tahoma" w:cs="Tahoma"/>
                <w:sz w:val="20"/>
                <w:szCs w:val="20"/>
                <w:lang w:val="sr-Cyrl-CS"/>
              </w:rPr>
              <w:t>64</w:t>
            </w:r>
            <w:r w:rsidRPr="00403FCE">
              <w:rPr>
                <w:rFonts w:ascii="Tahoma" w:hAnsi="Tahoma" w:cs="Tahoma"/>
                <w:sz w:val="20"/>
                <w:szCs w:val="20"/>
                <w:lang w:val="sr-Cyrl-CS"/>
              </w:rPr>
              <w:t>,</w:t>
            </w:r>
            <w:r>
              <w:rPr>
                <w:rFonts w:ascii="Tahoma" w:hAnsi="Tahoma" w:cs="Tahoma"/>
                <w:sz w:val="20"/>
                <w:szCs w:val="20"/>
                <w:lang w:val="sr-Cyrl-CS"/>
              </w:rPr>
              <w:t>337</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sidRPr="00403FCE">
              <w:rPr>
                <w:rFonts w:ascii="Tahoma" w:hAnsi="Tahoma" w:cs="Tahoma"/>
                <w:bCs/>
                <w:sz w:val="20"/>
                <w:szCs w:val="20"/>
                <w:lang w:val="sr-Cyrl-CS"/>
              </w:rPr>
              <w:t>7</w:t>
            </w:r>
            <w:r>
              <w:rPr>
                <w:rFonts w:ascii="Tahoma" w:hAnsi="Tahoma" w:cs="Tahoma"/>
                <w:bCs/>
                <w:sz w:val="20"/>
                <w:szCs w:val="20"/>
                <w:lang w:val="sr-Cyrl-CS"/>
              </w:rPr>
              <w:t>5.</w:t>
            </w:r>
            <w:r w:rsidRPr="00403FCE">
              <w:rPr>
                <w:rFonts w:ascii="Tahoma" w:hAnsi="Tahoma" w:cs="Tahoma"/>
                <w:bCs/>
                <w:sz w:val="20"/>
                <w:szCs w:val="20"/>
                <w:lang w:val="sr-Cyrl-CS"/>
              </w:rPr>
              <w:t>2</w:t>
            </w:r>
            <w:r>
              <w:rPr>
                <w:rFonts w:ascii="Tahoma" w:hAnsi="Tahoma" w:cs="Tahoma"/>
                <w:bCs/>
                <w:sz w:val="20"/>
                <w:szCs w:val="20"/>
                <w:lang w:val="sr-Cyrl-CS"/>
              </w:rPr>
              <w:t>4</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16-1</w:t>
            </w:r>
          </w:p>
        </w:tc>
        <w:tc>
          <w:tcPr>
            <w:tcW w:w="171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551-1</w:t>
            </w:r>
          </w:p>
        </w:tc>
        <w:tc>
          <w:tcPr>
            <w:tcW w:w="3690" w:type="dxa"/>
            <w:tcBorders>
              <w:top w:val="nil"/>
              <w:left w:val="nil"/>
              <w:bottom w:val="single" w:sz="4" w:space="0" w:color="auto"/>
              <w:right w:val="single" w:sz="4" w:space="0" w:color="auto"/>
            </w:tcBorders>
            <w:shd w:val="clear" w:color="auto" w:fill="auto"/>
            <w:noWrap/>
            <w:vAlign w:val="center"/>
          </w:tcPr>
          <w:p w:rsidR="00253B32" w:rsidRPr="00FE3B22"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Трошкови репрезентације „НОРЕ“</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500,000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304,812</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60.96</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17</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552</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Трошкови осигурања имовине</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300,</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2</w:t>
            </w:r>
            <w:r>
              <w:rPr>
                <w:rFonts w:ascii="Tahoma" w:hAnsi="Tahoma" w:cs="Tahoma"/>
                <w:sz w:val="20"/>
                <w:szCs w:val="20"/>
                <w:lang w:val="sr-Cyrl-CS"/>
              </w:rPr>
              <w:t>19</w:t>
            </w:r>
            <w:r w:rsidRPr="00403FCE">
              <w:rPr>
                <w:rFonts w:ascii="Tahoma" w:hAnsi="Tahoma" w:cs="Tahoma"/>
                <w:sz w:val="20"/>
                <w:szCs w:val="20"/>
                <w:lang w:val="sr-Cyrl-CS"/>
              </w:rPr>
              <w:t>,</w:t>
            </w:r>
            <w:r>
              <w:rPr>
                <w:rFonts w:ascii="Tahoma" w:hAnsi="Tahoma" w:cs="Tahoma"/>
                <w:sz w:val="20"/>
                <w:szCs w:val="20"/>
                <w:lang w:val="sr-Cyrl-CS"/>
              </w:rPr>
              <w:t>377</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73.13</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18</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553</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Трошкови плат. промета и банк. усл.</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15</w:t>
            </w:r>
            <w:r w:rsidRPr="00403FCE">
              <w:rPr>
                <w:rFonts w:ascii="Tahoma" w:hAnsi="Tahoma" w:cs="Tahoma"/>
                <w:sz w:val="20"/>
                <w:szCs w:val="20"/>
                <w:lang w:val="sr-Cyrl-CS"/>
              </w:rPr>
              <w:t>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7</w:t>
            </w:r>
            <w:r>
              <w:rPr>
                <w:rFonts w:ascii="Tahoma" w:hAnsi="Tahoma" w:cs="Tahoma"/>
                <w:sz w:val="20"/>
                <w:szCs w:val="20"/>
                <w:lang w:val="sr-Cyrl-CS"/>
              </w:rPr>
              <w:t>7</w:t>
            </w:r>
            <w:r w:rsidRPr="00403FCE">
              <w:rPr>
                <w:rFonts w:ascii="Tahoma" w:hAnsi="Tahoma" w:cs="Tahoma"/>
                <w:sz w:val="20"/>
                <w:szCs w:val="20"/>
                <w:lang w:val="sr-Cyrl-CS"/>
              </w:rPr>
              <w:t>,</w:t>
            </w:r>
            <w:r>
              <w:rPr>
                <w:rFonts w:ascii="Tahoma" w:hAnsi="Tahoma" w:cs="Tahoma"/>
                <w:sz w:val="20"/>
                <w:szCs w:val="20"/>
                <w:lang w:val="sr-Cyrl-CS"/>
              </w:rPr>
              <w:t>3</w:t>
            </w:r>
            <w:r w:rsidRPr="00403FCE">
              <w:rPr>
                <w:rFonts w:ascii="Tahoma" w:hAnsi="Tahoma" w:cs="Tahoma"/>
                <w:sz w:val="20"/>
                <w:szCs w:val="20"/>
                <w:lang w:val="sr-Cyrl-CS"/>
              </w:rPr>
              <w:t>7</w:t>
            </w:r>
            <w:r>
              <w:rPr>
                <w:rFonts w:ascii="Tahoma" w:hAnsi="Tahoma" w:cs="Tahoma"/>
                <w:sz w:val="20"/>
                <w:szCs w:val="20"/>
                <w:lang w:val="sr-Cyrl-CS"/>
              </w:rPr>
              <w:t>7</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51.58</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19</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554</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Трошкови чланарина</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Pr>
                <w:rFonts w:ascii="Tahoma" w:hAnsi="Tahoma" w:cs="Tahoma"/>
                <w:sz w:val="20"/>
                <w:szCs w:val="20"/>
                <w:lang w:val="sr-Cyrl-CS"/>
              </w:rPr>
              <w:t>3</w:t>
            </w:r>
            <w:r w:rsidRPr="00403FCE">
              <w:rPr>
                <w:rFonts w:ascii="Tahoma" w:hAnsi="Tahoma" w:cs="Tahoma"/>
                <w:sz w:val="20"/>
                <w:szCs w:val="20"/>
                <w:lang w:val="sr-Cyrl-CS"/>
              </w:rPr>
              <w:t>00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sidRPr="00403FCE">
              <w:rPr>
                <w:rFonts w:ascii="Tahoma" w:hAnsi="Tahoma" w:cs="Tahoma"/>
                <w:sz w:val="20"/>
                <w:szCs w:val="20"/>
                <w:lang w:val="sr-Cyrl-CS"/>
              </w:rPr>
              <w:t>2</w:t>
            </w:r>
            <w:r>
              <w:rPr>
                <w:rFonts w:ascii="Tahoma" w:hAnsi="Tahoma" w:cs="Tahoma"/>
                <w:sz w:val="20"/>
                <w:szCs w:val="20"/>
                <w:lang w:val="sr-Cyrl-CS"/>
              </w:rPr>
              <w:t>88</w:t>
            </w:r>
            <w:r w:rsidRPr="00403FCE">
              <w:rPr>
                <w:rFonts w:ascii="Tahoma" w:hAnsi="Tahoma" w:cs="Tahoma"/>
                <w:sz w:val="20"/>
                <w:szCs w:val="20"/>
                <w:lang w:val="sr-Cyrl-CS"/>
              </w:rPr>
              <w:t>,</w:t>
            </w:r>
            <w:r>
              <w:rPr>
                <w:rFonts w:ascii="Tahoma" w:hAnsi="Tahoma" w:cs="Tahoma"/>
                <w:sz w:val="20"/>
                <w:szCs w:val="20"/>
                <w:lang w:val="sr-Cyrl-CS"/>
              </w:rPr>
              <w:t>78</w:t>
            </w:r>
            <w:r w:rsidRPr="00403FCE">
              <w:rPr>
                <w:rFonts w:ascii="Tahoma" w:hAnsi="Tahoma" w:cs="Tahoma"/>
                <w:sz w:val="20"/>
                <w:szCs w:val="20"/>
                <w:lang w:val="sr-Cyrl-CS"/>
              </w:rPr>
              <w:t>6</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w:t>
            </w:r>
            <w:r w:rsidRPr="00403FCE">
              <w:rPr>
                <w:rFonts w:ascii="Tahoma" w:hAnsi="Tahoma" w:cs="Tahoma"/>
                <w:bCs/>
                <w:sz w:val="20"/>
                <w:szCs w:val="20"/>
                <w:lang w:val="sr-Cyrl-CS"/>
              </w:rPr>
              <w:t>6</w:t>
            </w:r>
            <w:r>
              <w:rPr>
                <w:rFonts w:ascii="Tahoma" w:hAnsi="Tahoma" w:cs="Tahoma"/>
                <w:bCs/>
                <w:sz w:val="20"/>
                <w:szCs w:val="20"/>
                <w:lang w:val="sr-Cyrl-CS"/>
              </w:rPr>
              <w:t>.26</w:t>
            </w:r>
          </w:p>
        </w:tc>
      </w:tr>
      <w:tr w:rsidR="00253B32" w:rsidRPr="00E555D8" w:rsidTr="00941A8C">
        <w:trPr>
          <w:trHeight w:val="30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20</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555</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Накн. за гр. зем. и пор. који тер. тр.</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jc w:val="right"/>
              <w:rPr>
                <w:rFonts w:ascii="Tahoma" w:hAnsi="Tahoma" w:cs="Tahoma"/>
                <w:sz w:val="20"/>
                <w:szCs w:val="20"/>
                <w:lang w:val="sr-Cyrl-CS"/>
              </w:rPr>
            </w:pPr>
            <w:r w:rsidRPr="00403FCE">
              <w:rPr>
                <w:rFonts w:ascii="Tahoma" w:hAnsi="Tahoma" w:cs="Tahoma"/>
                <w:sz w:val="20"/>
                <w:szCs w:val="20"/>
                <w:lang w:val="sr-Cyrl-CS"/>
              </w:rPr>
              <w:t>500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661</w:t>
            </w:r>
            <w:r w:rsidRPr="00403FCE">
              <w:rPr>
                <w:rFonts w:ascii="Tahoma" w:hAnsi="Tahoma" w:cs="Tahoma"/>
                <w:sz w:val="20"/>
                <w:szCs w:val="20"/>
                <w:lang w:val="sr-Cyrl-CS"/>
              </w:rPr>
              <w:t>,21</w:t>
            </w:r>
            <w:r>
              <w:rPr>
                <w:rFonts w:ascii="Tahoma" w:hAnsi="Tahoma" w:cs="Tahoma"/>
                <w:sz w:val="20"/>
                <w:szCs w:val="20"/>
                <w:lang w:val="sr-Cyrl-CS"/>
              </w:rPr>
              <w:t>8</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132.24</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21</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559</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sidRPr="00E555D8">
              <w:rPr>
                <w:rFonts w:ascii="Tahoma" w:hAnsi="Tahoma" w:cs="Tahoma"/>
                <w:sz w:val="20"/>
                <w:szCs w:val="20"/>
                <w:lang w:val="sr-Cyrl-CS"/>
              </w:rPr>
              <w:t>Ост.немат.тр.-адм.так. стр. литерат.</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autoSpaceDE w:val="0"/>
              <w:autoSpaceDN w:val="0"/>
              <w:adjustRightInd w:val="0"/>
              <w:spacing w:before="0"/>
              <w:ind w:firstLine="0"/>
              <w:jc w:val="right"/>
              <w:rPr>
                <w:rFonts w:ascii="Tahoma" w:hAnsi="Tahoma" w:cs="Tahoma"/>
                <w:sz w:val="20"/>
                <w:szCs w:val="20"/>
                <w:lang w:val="sr-Cyrl-CS"/>
              </w:rPr>
            </w:pPr>
            <w:r>
              <w:rPr>
                <w:rFonts w:ascii="Tahoma" w:hAnsi="Tahoma" w:cs="Tahoma"/>
                <w:sz w:val="20"/>
                <w:szCs w:val="20"/>
                <w:lang w:val="sr-Cyrl-CS"/>
              </w:rPr>
              <w:t>6</w:t>
            </w:r>
            <w:r w:rsidRPr="00403FCE">
              <w:rPr>
                <w:rFonts w:ascii="Tahoma" w:hAnsi="Tahoma" w:cs="Tahoma"/>
                <w:sz w:val="20"/>
                <w:szCs w:val="20"/>
                <w:lang w:val="sr-Cyrl-CS"/>
              </w:rPr>
              <w:t>00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572</w:t>
            </w:r>
            <w:r w:rsidRPr="00403FCE">
              <w:rPr>
                <w:rFonts w:ascii="Tahoma" w:hAnsi="Tahoma" w:cs="Tahoma"/>
                <w:sz w:val="20"/>
                <w:szCs w:val="20"/>
                <w:lang w:val="sr-Cyrl-CS"/>
              </w:rPr>
              <w:t>,</w:t>
            </w:r>
            <w:r>
              <w:rPr>
                <w:rFonts w:ascii="Tahoma" w:hAnsi="Tahoma" w:cs="Tahoma"/>
                <w:sz w:val="20"/>
                <w:szCs w:val="20"/>
                <w:lang w:val="sr-Cyrl-CS"/>
              </w:rPr>
              <w:t>964</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95.49</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Pr>
                <w:rFonts w:ascii="Tahoma" w:hAnsi="Tahoma" w:cs="Tahoma"/>
                <w:sz w:val="20"/>
                <w:szCs w:val="20"/>
                <w:lang w:val="sr-Cyrl-CS"/>
              </w:rPr>
              <w:t>22</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lang w:val="sr-Cyrl-CS"/>
              </w:rPr>
            </w:pPr>
            <w:r w:rsidRPr="00E555D8">
              <w:rPr>
                <w:rFonts w:ascii="Tahoma" w:hAnsi="Tahoma" w:cs="Tahoma"/>
                <w:sz w:val="20"/>
                <w:szCs w:val="20"/>
                <w:lang w:val="sr-Cyrl-CS"/>
              </w:rPr>
              <w:t>562,563,579</w:t>
            </w:r>
            <w:r>
              <w:rPr>
                <w:rFonts w:ascii="Tahoma" w:hAnsi="Tahoma" w:cs="Tahoma"/>
                <w:sz w:val="20"/>
                <w:szCs w:val="20"/>
                <w:lang w:val="sr-Cyrl-CS"/>
              </w:rPr>
              <w:t>,592</w:t>
            </w: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rPr>
            </w:pPr>
            <w:r w:rsidRPr="00E555D8">
              <w:rPr>
                <w:rFonts w:ascii="Tahoma" w:hAnsi="Tahoma" w:cs="Tahoma"/>
                <w:sz w:val="20"/>
                <w:szCs w:val="20"/>
                <w:lang w:val="sr-Cyrl-CS"/>
              </w:rPr>
              <w:t>Остали трошко</w:t>
            </w:r>
            <w:proofErr w:type="spellStart"/>
            <w:r w:rsidRPr="00E555D8">
              <w:rPr>
                <w:rFonts w:ascii="Tahoma" w:hAnsi="Tahoma" w:cs="Tahoma"/>
                <w:sz w:val="20"/>
                <w:szCs w:val="20"/>
              </w:rPr>
              <w:t>ви</w:t>
            </w:r>
            <w:proofErr w:type="spellEnd"/>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autoSpaceDE w:val="0"/>
              <w:autoSpaceDN w:val="0"/>
              <w:adjustRightInd w:val="0"/>
              <w:spacing w:before="0"/>
              <w:ind w:firstLine="0"/>
              <w:jc w:val="right"/>
              <w:rPr>
                <w:rFonts w:ascii="Tahoma" w:hAnsi="Tahoma" w:cs="Tahoma"/>
                <w:sz w:val="20"/>
                <w:szCs w:val="20"/>
                <w:lang w:val="sr-Cyrl-CS"/>
              </w:rPr>
            </w:pPr>
            <w:r w:rsidRPr="00403FCE">
              <w:rPr>
                <w:rFonts w:ascii="Tahoma" w:hAnsi="Tahoma" w:cs="Tahoma"/>
                <w:sz w:val="20"/>
                <w:szCs w:val="20"/>
                <w:lang w:val="sr-Cyrl-CS"/>
              </w:rPr>
              <w:t>50</w:t>
            </w:r>
            <w:r>
              <w:rPr>
                <w:rFonts w:ascii="Tahoma" w:hAnsi="Tahoma" w:cs="Tahoma"/>
                <w:sz w:val="20"/>
                <w:szCs w:val="20"/>
                <w:lang w:val="sr-Cyrl-CS"/>
              </w:rPr>
              <w:t>,</w:t>
            </w:r>
            <w:r w:rsidRPr="00403FCE">
              <w:rPr>
                <w:rFonts w:ascii="Tahoma" w:hAnsi="Tahoma" w:cs="Tahoma"/>
                <w:sz w:val="20"/>
                <w:szCs w:val="20"/>
                <w:lang w:val="sr-Cyrl-CS"/>
              </w:rPr>
              <w:t>000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313</w:t>
            </w:r>
            <w:r w:rsidRPr="00403FCE">
              <w:rPr>
                <w:rFonts w:ascii="Tahoma" w:hAnsi="Tahoma" w:cs="Tahoma"/>
                <w:sz w:val="20"/>
                <w:szCs w:val="20"/>
                <w:lang w:val="sr-Cyrl-CS"/>
              </w:rPr>
              <w:t>,</w:t>
            </w:r>
            <w:r>
              <w:rPr>
                <w:rFonts w:ascii="Tahoma" w:hAnsi="Tahoma" w:cs="Tahoma"/>
                <w:sz w:val="20"/>
                <w:szCs w:val="20"/>
                <w:lang w:val="sr-Cyrl-CS"/>
              </w:rPr>
              <w:t>280</w:t>
            </w:r>
          </w:p>
        </w:tc>
        <w:tc>
          <w:tcPr>
            <w:tcW w:w="900" w:type="dxa"/>
            <w:tcBorders>
              <w:top w:val="nil"/>
              <w:left w:val="nil"/>
              <w:bottom w:val="single" w:sz="4" w:space="0" w:color="auto"/>
              <w:right w:val="single" w:sz="4" w:space="0" w:color="auto"/>
            </w:tcBorders>
            <w:shd w:val="clear" w:color="auto" w:fill="FFFFFF"/>
            <w:noWrap/>
            <w:vAlign w:val="center"/>
          </w:tcPr>
          <w:p w:rsidR="00253B32" w:rsidRPr="00403FCE" w:rsidRDefault="00253B32" w:rsidP="00941A8C">
            <w:pPr>
              <w:spacing w:before="0"/>
              <w:ind w:firstLine="0"/>
              <w:jc w:val="right"/>
              <w:rPr>
                <w:rFonts w:ascii="Tahoma" w:hAnsi="Tahoma" w:cs="Tahoma"/>
                <w:bCs/>
                <w:sz w:val="20"/>
                <w:szCs w:val="20"/>
                <w:lang w:val="sr-Cyrl-CS"/>
              </w:rPr>
            </w:pPr>
            <w:r>
              <w:rPr>
                <w:rFonts w:ascii="Tahoma" w:hAnsi="Tahoma" w:cs="Tahoma"/>
                <w:bCs/>
                <w:sz w:val="20"/>
                <w:szCs w:val="20"/>
                <w:lang w:val="sr-Cyrl-CS"/>
              </w:rPr>
              <w:t>626.56</w:t>
            </w:r>
          </w:p>
        </w:tc>
      </w:tr>
      <w:tr w:rsidR="00253B32" w:rsidRPr="00E555D8" w:rsidTr="00941A8C">
        <w:trPr>
          <w:trHeight w:val="255"/>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r w:rsidRPr="00E555D8">
              <w:rPr>
                <w:rFonts w:ascii="Tahoma" w:hAnsi="Tahoma" w:cs="Tahoma"/>
                <w:sz w:val="20"/>
                <w:szCs w:val="20"/>
              </w:rPr>
              <w:t>III</w:t>
            </w:r>
          </w:p>
        </w:tc>
        <w:tc>
          <w:tcPr>
            <w:tcW w:w="171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center"/>
              <w:rPr>
                <w:rFonts w:ascii="Tahoma" w:hAnsi="Tahoma" w:cs="Tahoma"/>
                <w:sz w:val="20"/>
                <w:szCs w:val="20"/>
              </w:rPr>
            </w:pPr>
          </w:p>
        </w:tc>
        <w:tc>
          <w:tcPr>
            <w:tcW w:w="3690" w:type="dxa"/>
            <w:tcBorders>
              <w:top w:val="nil"/>
              <w:left w:val="nil"/>
              <w:bottom w:val="single" w:sz="4" w:space="0" w:color="auto"/>
              <w:right w:val="single" w:sz="4" w:space="0" w:color="auto"/>
            </w:tcBorders>
            <w:shd w:val="clear" w:color="auto" w:fill="auto"/>
            <w:noWrap/>
            <w:vAlign w:val="center"/>
          </w:tcPr>
          <w:p w:rsidR="00253B32" w:rsidRPr="00E555D8" w:rsidRDefault="00253B32" w:rsidP="00941A8C">
            <w:pPr>
              <w:spacing w:before="0"/>
              <w:ind w:firstLine="0"/>
              <w:jc w:val="left"/>
              <w:rPr>
                <w:rFonts w:ascii="Tahoma" w:hAnsi="Tahoma" w:cs="Tahoma"/>
                <w:sz w:val="20"/>
                <w:szCs w:val="20"/>
                <w:lang w:val="sr-Cyrl-CS"/>
              </w:rPr>
            </w:pPr>
            <w:r>
              <w:rPr>
                <w:rFonts w:ascii="Tahoma" w:hAnsi="Tahoma" w:cs="Tahoma"/>
                <w:sz w:val="20"/>
                <w:szCs w:val="20"/>
                <w:lang w:val="sr-Cyrl-CS"/>
              </w:rPr>
              <w:t>Разл.прих. и расх. (вишак прихода)</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autoSpaceDE w:val="0"/>
              <w:autoSpaceDN w:val="0"/>
              <w:adjustRightInd w:val="0"/>
              <w:spacing w:before="0"/>
              <w:ind w:firstLine="0"/>
              <w:jc w:val="right"/>
              <w:rPr>
                <w:rFonts w:ascii="Tahoma" w:hAnsi="Tahoma" w:cs="Tahoma"/>
                <w:sz w:val="20"/>
                <w:szCs w:val="20"/>
                <w:lang w:val="sr-Cyrl-CS"/>
              </w:rPr>
            </w:pPr>
            <w:r w:rsidRPr="00403FCE">
              <w:rPr>
                <w:rFonts w:ascii="Tahoma" w:hAnsi="Tahoma" w:cs="Tahoma"/>
                <w:sz w:val="20"/>
                <w:szCs w:val="20"/>
                <w:lang w:val="sr-Cyrl-CS"/>
              </w:rPr>
              <w:t>0</w:t>
            </w:r>
          </w:p>
        </w:tc>
        <w:tc>
          <w:tcPr>
            <w:tcW w:w="198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1</w:t>
            </w:r>
            <w:r w:rsidRPr="00403FCE">
              <w:rPr>
                <w:rFonts w:ascii="Tahoma" w:hAnsi="Tahoma" w:cs="Tahoma"/>
                <w:sz w:val="20"/>
                <w:szCs w:val="20"/>
                <w:lang w:val="sr-Cyrl-CS"/>
              </w:rPr>
              <w:t>,</w:t>
            </w:r>
            <w:r>
              <w:rPr>
                <w:rFonts w:ascii="Tahoma" w:hAnsi="Tahoma" w:cs="Tahoma"/>
                <w:sz w:val="20"/>
                <w:szCs w:val="20"/>
                <w:lang w:val="sr-Cyrl-CS"/>
              </w:rPr>
              <w:t>188</w:t>
            </w:r>
            <w:r w:rsidRPr="00403FCE">
              <w:rPr>
                <w:rFonts w:ascii="Tahoma" w:hAnsi="Tahoma" w:cs="Tahoma"/>
                <w:sz w:val="20"/>
                <w:szCs w:val="20"/>
                <w:lang w:val="sr-Cyrl-CS"/>
              </w:rPr>
              <w:t>,8</w:t>
            </w:r>
            <w:r>
              <w:rPr>
                <w:rFonts w:ascii="Tahoma" w:hAnsi="Tahoma" w:cs="Tahoma"/>
                <w:sz w:val="20"/>
                <w:szCs w:val="20"/>
                <w:lang w:val="sr-Cyrl-CS"/>
              </w:rPr>
              <w:t>76</w:t>
            </w:r>
          </w:p>
        </w:tc>
        <w:tc>
          <w:tcPr>
            <w:tcW w:w="900" w:type="dxa"/>
            <w:tcBorders>
              <w:top w:val="nil"/>
              <w:left w:val="nil"/>
              <w:bottom w:val="single" w:sz="4" w:space="0" w:color="auto"/>
              <w:right w:val="single" w:sz="4" w:space="0" w:color="auto"/>
            </w:tcBorders>
            <w:shd w:val="clear" w:color="auto" w:fill="auto"/>
            <w:noWrap/>
            <w:vAlign w:val="center"/>
          </w:tcPr>
          <w:p w:rsidR="00253B32" w:rsidRPr="00403FCE" w:rsidRDefault="00253B32" w:rsidP="00941A8C">
            <w:pPr>
              <w:spacing w:before="0"/>
              <w:ind w:firstLine="0"/>
              <w:jc w:val="right"/>
              <w:rPr>
                <w:rFonts w:ascii="Tahoma" w:hAnsi="Tahoma" w:cs="Tahoma"/>
                <w:sz w:val="20"/>
                <w:szCs w:val="20"/>
                <w:lang w:val="sr-Cyrl-CS"/>
              </w:rPr>
            </w:pPr>
            <w:r>
              <w:rPr>
                <w:rFonts w:ascii="Tahoma" w:hAnsi="Tahoma" w:cs="Tahoma"/>
                <w:sz w:val="20"/>
                <w:szCs w:val="20"/>
                <w:lang w:val="sr-Cyrl-CS"/>
              </w:rPr>
              <w:t>0.00</w:t>
            </w:r>
          </w:p>
        </w:tc>
      </w:tr>
    </w:tbl>
    <w:p w:rsidR="00253B32" w:rsidRDefault="00253B32" w:rsidP="00253B32">
      <w:pPr>
        <w:ind w:firstLine="0"/>
        <w:rPr>
          <w:i/>
          <w:lang w:val="sr-Cyrl-CS"/>
        </w:rPr>
      </w:pPr>
      <w:r>
        <w:rPr>
          <w:i/>
          <w:iCs/>
          <w:lang w:val="sr-Cyrl-CS"/>
        </w:rPr>
        <w:t xml:space="preserve"> </w:t>
      </w:r>
      <w:r w:rsidRPr="00E555D8">
        <w:rPr>
          <w:i/>
          <w:iCs/>
          <w:lang w:val="sr-Cyrl-CS"/>
        </w:rPr>
        <w:t xml:space="preserve">Начелник службе за ек. здрав.                           </w:t>
      </w:r>
      <w:r w:rsidR="00EF0726">
        <w:rPr>
          <w:i/>
          <w:iCs/>
          <w:lang w:val="sr-Cyrl-CS"/>
        </w:rPr>
        <w:t xml:space="preserve">                </w:t>
      </w:r>
      <w:r>
        <w:rPr>
          <w:i/>
          <w:iCs/>
          <w:lang w:val="sr-Cyrl-CS"/>
        </w:rPr>
        <w:t xml:space="preserve">       </w:t>
      </w:r>
      <w:r w:rsidRPr="00E555D8">
        <w:rPr>
          <w:i/>
          <w:iCs/>
          <w:lang w:val="sr-Cyrl-CS"/>
        </w:rPr>
        <w:t xml:space="preserve"> Секретар Коморе,</w:t>
      </w:r>
      <w:r w:rsidRPr="00E555D8">
        <w:rPr>
          <w:i/>
          <w:lang w:val="sr-Cyrl-CS"/>
        </w:rPr>
        <w:t xml:space="preserve"> </w:t>
      </w:r>
    </w:p>
    <w:p w:rsidR="00EF0726" w:rsidRDefault="00253B32" w:rsidP="00253B32">
      <w:pPr>
        <w:ind w:firstLine="0"/>
        <w:rPr>
          <w:i/>
          <w:lang w:val="sr-Cyrl-CS"/>
        </w:rPr>
      </w:pPr>
      <w:r>
        <w:rPr>
          <w:i/>
          <w:lang w:val="sr-Cyrl-CS"/>
        </w:rPr>
        <w:t>Наталија Пилиповић Лазаревић,</w:t>
      </w:r>
      <w:r w:rsidRPr="00E555D8">
        <w:rPr>
          <w:i/>
          <w:lang w:val="sr-Cyrl-CS"/>
        </w:rPr>
        <w:t xml:space="preserve"> дипл.ек.</w:t>
      </w:r>
      <w:r w:rsidR="00664192">
        <w:rPr>
          <w:i/>
          <w:lang w:val="sr-Cyrl-CS"/>
        </w:rPr>
        <w:t xml:space="preserve">,с.р.         </w:t>
      </w:r>
      <w:r w:rsidR="00EF0726">
        <w:rPr>
          <w:i/>
          <w:lang w:val="sr-Cyrl-CS"/>
        </w:rPr>
        <w:t xml:space="preserve">        </w:t>
      </w:r>
      <w:r>
        <w:rPr>
          <w:i/>
          <w:lang w:val="sr-Cyrl-CS"/>
        </w:rPr>
        <w:t xml:space="preserve"> </w:t>
      </w:r>
      <w:r w:rsidRPr="00E555D8">
        <w:rPr>
          <w:i/>
          <w:lang w:val="sr-Cyrl-CS"/>
        </w:rPr>
        <w:t xml:space="preserve">    </w:t>
      </w:r>
      <w:r>
        <w:rPr>
          <w:i/>
          <w:lang w:val="sr-Cyrl-CS"/>
        </w:rPr>
        <w:t xml:space="preserve">    Драган Морача, дип.прав.</w:t>
      </w:r>
      <w:r w:rsidR="00EF0726">
        <w:rPr>
          <w:i/>
          <w:lang w:val="sr-Cyrl-CS"/>
        </w:rPr>
        <w:t>, с.р.</w:t>
      </w:r>
    </w:p>
    <w:p w:rsidR="00EF0726" w:rsidRDefault="00EF0726" w:rsidP="00253B32">
      <w:pPr>
        <w:ind w:firstLine="0"/>
        <w:rPr>
          <w:i/>
          <w:lang w:val="sr-Cyrl-CS"/>
        </w:rPr>
      </w:pPr>
    </w:p>
    <w:p w:rsidR="00253B32" w:rsidRDefault="00EF0726" w:rsidP="00664192">
      <w:pPr>
        <w:rPr>
          <w:i/>
          <w:lang w:val="sr-Cyrl-CS"/>
        </w:rPr>
      </w:pPr>
      <w:r>
        <w:rPr>
          <w:b/>
          <w:lang w:val="sr-Cyrl-CS"/>
        </w:rPr>
        <w:t xml:space="preserve">Управни одбор Коморе, на седници одржаној 06.03.2015. године, утврдио је предлог Извештаја о финансијском </w:t>
      </w:r>
      <w:r w:rsidR="00664192">
        <w:rPr>
          <w:b/>
          <w:lang w:val="sr-Cyrl-CS"/>
        </w:rPr>
        <w:t xml:space="preserve">пословању Коморе за 2014. </w:t>
      </w:r>
      <w:r w:rsidR="00161EDA">
        <w:rPr>
          <w:b/>
          <w:lang w:val="sr-Cyrl-CS"/>
        </w:rPr>
        <w:t>г</w:t>
      </w:r>
      <w:r w:rsidR="00664192">
        <w:rPr>
          <w:b/>
          <w:lang w:val="sr-Cyrl-CS"/>
        </w:rPr>
        <w:t>одину и исти доставља Скупштини Коморе на усвајање.</w:t>
      </w:r>
      <w:r w:rsidR="00253B32" w:rsidRPr="00E555D8">
        <w:rPr>
          <w:i/>
          <w:lang w:val="sr-Cyrl-CS"/>
        </w:rPr>
        <w:t xml:space="preserve">  </w:t>
      </w:r>
    </w:p>
    <w:p w:rsidR="00EF0726" w:rsidRDefault="00EF0726" w:rsidP="00664192">
      <w:pPr>
        <w:rPr>
          <w:i/>
          <w:lang w:val="sr-Cyrl-CS"/>
        </w:rPr>
      </w:pPr>
    </w:p>
    <w:p w:rsidR="00F70D15" w:rsidRPr="00992FC5" w:rsidRDefault="00F70D15" w:rsidP="00664192">
      <w:pPr>
        <w:rPr>
          <w:lang/>
        </w:rPr>
      </w:pPr>
    </w:p>
    <w:sectPr w:rsidR="00F70D15" w:rsidRPr="00992FC5" w:rsidSect="00BF5EA2">
      <w:footerReference w:type="even" r:id="rId6"/>
      <w:footerReference w:type="default" r:id="rId7"/>
      <w:footnotePr>
        <w:numFmt w:val="chicago"/>
      </w:footnote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5" w:rsidRDefault="00161EDA" w:rsidP="00D93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645" w:rsidRDefault="00161EDA" w:rsidP="00D93F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5" w:rsidRDefault="00161EDA" w:rsidP="00D93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21645" w:rsidRDefault="00161EDA" w:rsidP="00D93F6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BF1"/>
    <w:multiLevelType w:val="hybridMultilevel"/>
    <w:tmpl w:val="F6769EC8"/>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7A1643D"/>
    <w:multiLevelType w:val="hybridMultilevel"/>
    <w:tmpl w:val="7FDA700E"/>
    <w:lvl w:ilvl="0" w:tplc="9558F0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A201DE"/>
    <w:multiLevelType w:val="hybridMultilevel"/>
    <w:tmpl w:val="632E5434"/>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0EE1793A"/>
    <w:multiLevelType w:val="hybridMultilevel"/>
    <w:tmpl w:val="7C380204"/>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17677687"/>
    <w:multiLevelType w:val="hybridMultilevel"/>
    <w:tmpl w:val="D51E6202"/>
    <w:lvl w:ilvl="0" w:tplc="55807F52">
      <w:numFmt w:val="bullet"/>
      <w:lvlText w:val="-"/>
      <w:lvlJc w:val="left"/>
      <w:pPr>
        <w:tabs>
          <w:tab w:val="num" w:pos="2520"/>
        </w:tabs>
        <w:ind w:left="2520" w:hanging="723"/>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9F754D3"/>
    <w:multiLevelType w:val="hybridMultilevel"/>
    <w:tmpl w:val="AA68E1BE"/>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20FC0A7F"/>
    <w:multiLevelType w:val="hybridMultilevel"/>
    <w:tmpl w:val="740A0EA4"/>
    <w:lvl w:ilvl="0" w:tplc="9558F05C">
      <w:start w:val="1"/>
      <w:numFmt w:val="decimal"/>
      <w:lvlText w:val="%1."/>
      <w:lvlJc w:val="left"/>
      <w:pPr>
        <w:tabs>
          <w:tab w:val="num" w:pos="1200"/>
        </w:tabs>
        <w:ind w:left="1200" w:hanging="360"/>
      </w:pPr>
      <w:rPr>
        <w:rFonts w:hint="default"/>
      </w:rPr>
    </w:lvl>
    <w:lvl w:ilvl="1" w:tplc="ED70805A">
      <w:start w:val="1"/>
      <w:numFmt w:val="bullet"/>
      <w:lvlText w:val="-"/>
      <w:lvlJc w:val="left"/>
      <w:pPr>
        <w:tabs>
          <w:tab w:val="num" w:pos="1920"/>
        </w:tabs>
        <w:ind w:left="1920" w:hanging="360"/>
      </w:pPr>
      <w:rPr>
        <w:rFonts w:ascii="Times New Roman" w:eastAsia="Times New Roman" w:hAnsi="Times New Roman" w:cs="Times New Roman"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27C02848"/>
    <w:multiLevelType w:val="hybridMultilevel"/>
    <w:tmpl w:val="30D00666"/>
    <w:lvl w:ilvl="0" w:tplc="55807F52">
      <w:numFmt w:val="bullet"/>
      <w:lvlText w:val="-"/>
      <w:lvlJc w:val="left"/>
      <w:pPr>
        <w:tabs>
          <w:tab w:val="num" w:pos="2520"/>
        </w:tabs>
        <w:ind w:left="2520" w:hanging="723"/>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C770FE2"/>
    <w:multiLevelType w:val="hybridMultilevel"/>
    <w:tmpl w:val="C8725524"/>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nsid w:val="573311CB"/>
    <w:multiLevelType w:val="hybridMultilevel"/>
    <w:tmpl w:val="D812D190"/>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5E9000DC"/>
    <w:multiLevelType w:val="hybridMultilevel"/>
    <w:tmpl w:val="B0DC7814"/>
    <w:lvl w:ilvl="0" w:tplc="9558F05C">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1">
    <w:nsid w:val="5EF363F6"/>
    <w:multiLevelType w:val="hybridMultilevel"/>
    <w:tmpl w:val="2AB24474"/>
    <w:lvl w:ilvl="0" w:tplc="9558F0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672F327C"/>
    <w:multiLevelType w:val="hybridMultilevel"/>
    <w:tmpl w:val="F4EC9A2A"/>
    <w:lvl w:ilvl="0" w:tplc="55807F52">
      <w:numFmt w:val="bullet"/>
      <w:lvlText w:val="-"/>
      <w:lvlJc w:val="left"/>
      <w:pPr>
        <w:tabs>
          <w:tab w:val="num" w:pos="2520"/>
        </w:tabs>
        <w:ind w:left="2520" w:hanging="723"/>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95413E"/>
    <w:multiLevelType w:val="hybridMultilevel"/>
    <w:tmpl w:val="28DC01B2"/>
    <w:lvl w:ilvl="0" w:tplc="8FA66A08">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5602249"/>
    <w:multiLevelType w:val="hybridMultilevel"/>
    <w:tmpl w:val="DD3E3C18"/>
    <w:lvl w:ilvl="0" w:tplc="E35A8F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23B03"/>
    <w:multiLevelType w:val="hybridMultilevel"/>
    <w:tmpl w:val="D7464520"/>
    <w:lvl w:ilvl="0" w:tplc="5B0A11AA">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8"/>
  </w:num>
  <w:num w:numId="3">
    <w:abstractNumId w:val="11"/>
  </w:num>
  <w:num w:numId="4">
    <w:abstractNumId w:val="3"/>
  </w:num>
  <w:num w:numId="5">
    <w:abstractNumId w:val="5"/>
  </w:num>
  <w:num w:numId="6">
    <w:abstractNumId w:val="1"/>
  </w:num>
  <w:num w:numId="7">
    <w:abstractNumId w:val="10"/>
  </w:num>
  <w:num w:numId="8">
    <w:abstractNumId w:val="2"/>
  </w:num>
  <w:num w:numId="9">
    <w:abstractNumId w:val="0"/>
  </w:num>
  <w:num w:numId="10">
    <w:abstractNumId w:val="9"/>
  </w:num>
  <w:num w:numId="11">
    <w:abstractNumId w:val="14"/>
  </w:num>
  <w:num w:numId="12">
    <w:abstractNumId w:val="15"/>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chicago"/>
  </w:footnotePr>
  <w:compat/>
  <w:rsids>
    <w:rsidRoot w:val="00253B32"/>
    <w:rsid w:val="00161EDA"/>
    <w:rsid w:val="001640D2"/>
    <w:rsid w:val="001653A3"/>
    <w:rsid w:val="00253B32"/>
    <w:rsid w:val="00546E64"/>
    <w:rsid w:val="00664192"/>
    <w:rsid w:val="007F0F16"/>
    <w:rsid w:val="00992FC5"/>
    <w:rsid w:val="00C65403"/>
    <w:rsid w:val="00EF0726"/>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32"/>
    <w:pPr>
      <w:spacing w:before="120" w:after="0" w:line="240" w:lineRule="auto"/>
      <w:ind w:firstLine="720"/>
      <w:jc w:val="both"/>
    </w:pPr>
    <w:rPr>
      <w:rFonts w:eastAsia="Times New Roman" w:cs="Times New Roman"/>
      <w:szCs w:val="24"/>
    </w:rPr>
  </w:style>
  <w:style w:type="paragraph" w:styleId="Heading1">
    <w:name w:val="heading 1"/>
    <w:basedOn w:val="Normal"/>
    <w:next w:val="Normal"/>
    <w:link w:val="Heading1Char"/>
    <w:qFormat/>
    <w:rsid w:val="00253B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3B32"/>
    <w:pPr>
      <w:keepNext/>
      <w:spacing w:before="0"/>
      <w:ind w:firstLine="0"/>
      <w:jc w:val="right"/>
      <w:outlineLvl w:val="1"/>
    </w:pPr>
    <w:rPr>
      <w:b/>
      <w:bCs/>
      <w:sz w:val="20"/>
      <w:lang w:val="sr-Cyrl-CS"/>
    </w:rPr>
  </w:style>
  <w:style w:type="paragraph" w:styleId="Heading4">
    <w:name w:val="heading 4"/>
    <w:basedOn w:val="Normal"/>
    <w:next w:val="Normal"/>
    <w:link w:val="Heading4Char"/>
    <w:qFormat/>
    <w:rsid w:val="00253B32"/>
    <w:pPr>
      <w:keepNext/>
      <w:spacing w:before="240" w:after="60"/>
      <w:outlineLvl w:val="3"/>
    </w:pPr>
    <w:rPr>
      <w:b/>
      <w:bCs/>
      <w:sz w:val="28"/>
      <w:szCs w:val="28"/>
    </w:rPr>
  </w:style>
  <w:style w:type="paragraph" w:styleId="Heading5">
    <w:name w:val="heading 5"/>
    <w:basedOn w:val="Normal"/>
    <w:next w:val="Normal"/>
    <w:link w:val="Heading5Char"/>
    <w:qFormat/>
    <w:rsid w:val="00253B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3B32"/>
    <w:rPr>
      <w:rFonts w:ascii="Arial" w:eastAsia="Times New Roman" w:hAnsi="Arial" w:cs="Arial"/>
      <w:b/>
      <w:bCs/>
      <w:kern w:val="32"/>
      <w:sz w:val="32"/>
      <w:szCs w:val="32"/>
    </w:rPr>
  </w:style>
  <w:style w:type="character" w:customStyle="1" w:styleId="Heading2Char">
    <w:name w:val="Heading 2 Char"/>
    <w:basedOn w:val="DefaultParagraphFont"/>
    <w:link w:val="Heading2"/>
    <w:rsid w:val="00253B32"/>
    <w:rPr>
      <w:rFonts w:eastAsia="Times New Roman" w:cs="Times New Roman"/>
      <w:b/>
      <w:bCs/>
      <w:sz w:val="20"/>
      <w:szCs w:val="24"/>
      <w:lang w:val="sr-Cyrl-CS"/>
    </w:rPr>
  </w:style>
  <w:style w:type="character" w:customStyle="1" w:styleId="Heading4Char">
    <w:name w:val="Heading 4 Char"/>
    <w:basedOn w:val="DefaultParagraphFont"/>
    <w:link w:val="Heading4"/>
    <w:rsid w:val="00253B32"/>
    <w:rPr>
      <w:rFonts w:eastAsia="Times New Roman" w:cs="Times New Roman"/>
      <w:b/>
      <w:bCs/>
      <w:sz w:val="28"/>
      <w:szCs w:val="28"/>
    </w:rPr>
  </w:style>
  <w:style w:type="character" w:customStyle="1" w:styleId="Heading5Char">
    <w:name w:val="Heading 5 Char"/>
    <w:basedOn w:val="DefaultParagraphFont"/>
    <w:link w:val="Heading5"/>
    <w:rsid w:val="00253B32"/>
    <w:rPr>
      <w:rFonts w:eastAsia="Times New Roman" w:cs="Times New Roman"/>
      <w:b/>
      <w:bCs/>
      <w:i/>
      <w:iCs/>
      <w:sz w:val="26"/>
      <w:szCs w:val="26"/>
    </w:rPr>
  </w:style>
  <w:style w:type="paragraph" w:customStyle="1" w:styleId="Centar">
    <w:name w:val="Centar"/>
    <w:basedOn w:val="Normal"/>
    <w:rsid w:val="00253B32"/>
    <w:pPr>
      <w:jc w:val="center"/>
    </w:pPr>
    <w:rPr>
      <w:b/>
    </w:rPr>
  </w:style>
  <w:style w:type="table" w:styleId="TableGrid">
    <w:name w:val="Table Grid"/>
    <w:basedOn w:val="TableNormal"/>
    <w:rsid w:val="00253B32"/>
    <w:pPr>
      <w:spacing w:before="120" w:after="0" w:line="240" w:lineRule="auto"/>
      <w:ind w:firstLine="720"/>
      <w:jc w:val="both"/>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53B32"/>
    <w:rPr>
      <w:sz w:val="16"/>
      <w:szCs w:val="16"/>
    </w:rPr>
  </w:style>
  <w:style w:type="paragraph" w:styleId="Footer">
    <w:name w:val="footer"/>
    <w:basedOn w:val="Normal"/>
    <w:link w:val="FooterChar"/>
    <w:rsid w:val="00253B32"/>
    <w:pPr>
      <w:tabs>
        <w:tab w:val="center" w:pos="4320"/>
        <w:tab w:val="right" w:pos="8640"/>
      </w:tabs>
    </w:pPr>
  </w:style>
  <w:style w:type="character" w:customStyle="1" w:styleId="FooterChar">
    <w:name w:val="Footer Char"/>
    <w:basedOn w:val="DefaultParagraphFont"/>
    <w:link w:val="Footer"/>
    <w:rsid w:val="00253B32"/>
    <w:rPr>
      <w:rFonts w:eastAsia="Times New Roman" w:cs="Times New Roman"/>
      <w:szCs w:val="24"/>
    </w:rPr>
  </w:style>
  <w:style w:type="paragraph" w:styleId="BodyTextIndent">
    <w:name w:val="Body Text Indent"/>
    <w:basedOn w:val="Normal"/>
    <w:link w:val="BodyTextIndentChar"/>
    <w:rsid w:val="00253B32"/>
    <w:pPr>
      <w:spacing w:before="60" w:line="240" w:lineRule="exact"/>
    </w:pPr>
    <w:rPr>
      <w:lang w:val="sr-Cyrl-CS"/>
    </w:rPr>
  </w:style>
  <w:style w:type="character" w:customStyle="1" w:styleId="BodyTextIndentChar">
    <w:name w:val="Body Text Indent Char"/>
    <w:basedOn w:val="DefaultParagraphFont"/>
    <w:link w:val="BodyTextIndent"/>
    <w:rsid w:val="00253B32"/>
    <w:rPr>
      <w:rFonts w:eastAsia="Times New Roman" w:cs="Times New Roman"/>
      <w:szCs w:val="24"/>
      <w:lang w:val="sr-Cyrl-CS"/>
    </w:rPr>
  </w:style>
  <w:style w:type="character" w:styleId="PageNumber">
    <w:name w:val="page number"/>
    <w:basedOn w:val="DefaultParagraphFont"/>
    <w:rsid w:val="00253B32"/>
  </w:style>
  <w:style w:type="paragraph" w:styleId="FootnoteText">
    <w:name w:val="footnote text"/>
    <w:basedOn w:val="Normal"/>
    <w:link w:val="FootnoteTextChar"/>
    <w:semiHidden/>
    <w:rsid w:val="00253B32"/>
    <w:rPr>
      <w:sz w:val="20"/>
      <w:szCs w:val="20"/>
    </w:rPr>
  </w:style>
  <w:style w:type="character" w:customStyle="1" w:styleId="FootnoteTextChar">
    <w:name w:val="Footnote Text Char"/>
    <w:basedOn w:val="DefaultParagraphFont"/>
    <w:link w:val="FootnoteText"/>
    <w:semiHidden/>
    <w:rsid w:val="00253B32"/>
    <w:rPr>
      <w:rFonts w:eastAsia="Times New Roman" w:cs="Times New Roman"/>
      <w:sz w:val="20"/>
      <w:szCs w:val="20"/>
    </w:rPr>
  </w:style>
  <w:style w:type="character" w:styleId="FootnoteReference">
    <w:name w:val="footnote reference"/>
    <w:basedOn w:val="DefaultParagraphFont"/>
    <w:semiHidden/>
    <w:rsid w:val="00253B32"/>
    <w:rPr>
      <w:vertAlign w:val="superscript"/>
    </w:rPr>
  </w:style>
  <w:style w:type="paragraph" w:styleId="BalloonText">
    <w:name w:val="Balloon Text"/>
    <w:basedOn w:val="Normal"/>
    <w:link w:val="BalloonTextChar"/>
    <w:semiHidden/>
    <w:rsid w:val="00253B32"/>
    <w:rPr>
      <w:rFonts w:ascii="Tahoma" w:hAnsi="Tahoma" w:cs="Tahoma"/>
      <w:sz w:val="16"/>
      <w:szCs w:val="16"/>
    </w:rPr>
  </w:style>
  <w:style w:type="character" w:customStyle="1" w:styleId="BalloonTextChar">
    <w:name w:val="Balloon Text Char"/>
    <w:basedOn w:val="DefaultParagraphFont"/>
    <w:link w:val="BalloonText"/>
    <w:semiHidden/>
    <w:rsid w:val="00253B3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E9C3A-2170-4D94-8377-41B95837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8</cp:revision>
  <dcterms:created xsi:type="dcterms:W3CDTF">2015-03-09T07:59:00Z</dcterms:created>
  <dcterms:modified xsi:type="dcterms:W3CDTF">2015-03-09T08:14:00Z</dcterms:modified>
</cp:coreProperties>
</file>